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bCs/>
          <w:sz w:val="130"/>
          <w:szCs w:val="130"/>
        </w:rPr>
      </w:pPr>
      <w:r>
        <w:rPr>
          <w:bCs/>
          <w:iCs/>
          <w:sz w:val="96"/>
          <w:szCs w:val="96"/>
        </w:rPr>
        <w:drawing>
          <wp:inline distT="0" distB="0" distL="0" distR="0">
            <wp:extent cx="1880870" cy="750570"/>
            <wp:effectExtent l="0" t="0" r="5080" b="0"/>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80870" cy="750570"/>
                    </a:xfrm>
                    <a:prstGeom prst="rect">
                      <a:avLst/>
                    </a:prstGeom>
                    <a:noFill/>
                    <a:ln>
                      <a:noFill/>
                    </a:ln>
                  </pic:spPr>
                </pic:pic>
              </a:graphicData>
            </a:graphic>
          </wp:inline>
        </w:drawing>
      </w:r>
      <w:r>
        <w:rPr>
          <w:bCs/>
          <w:sz w:val="130"/>
          <w:szCs w:val="130"/>
        </w:rPr>
        <w:t xml:space="preserve"> </w:t>
      </w:r>
    </w:p>
    <w:p>
      <w:pPr>
        <w:spacing w:after="170"/>
        <w:jc w:val="center"/>
        <w:rPr>
          <w:rFonts w:eastAsia="方正小标宋简体"/>
          <w:w w:val="110"/>
          <w:sz w:val="56"/>
          <w:szCs w:val="56"/>
        </w:rPr>
      </w:pPr>
      <w:r>
        <w:rPr>
          <w:rFonts w:eastAsia="方正小标宋简体"/>
          <w:w w:val="110"/>
          <w:sz w:val="52"/>
          <w:szCs w:val="56"/>
        </w:rPr>
        <w:t>中华人民共和国国家计量技术规范</w:t>
      </w:r>
    </w:p>
    <w:p>
      <w:pPr>
        <w:wordWrap w:val="0"/>
        <w:spacing w:after="80"/>
        <w:jc w:val="right"/>
        <w:rPr>
          <w:b/>
          <w:bCs/>
          <w:spacing w:val="567"/>
          <w:sz w:val="36"/>
          <w:szCs w:val="36"/>
        </w:rPr>
      </w:pPr>
      <w:r>
        <w:rPr>
          <w:rFonts w:eastAsia="黑体"/>
          <w:b/>
          <w:bCs/>
          <w:sz w:val="28"/>
          <w:szCs w:val="28"/>
        </w:rPr>
        <w:t>JJF XXXX—XXXX</w:t>
      </w:r>
      <w:r>
        <w:rPr>
          <w:b/>
          <w:bCs/>
          <w:spacing w:val="567"/>
          <w:sz w:val="36"/>
          <w:szCs w:val="36"/>
        </w:rPr>
        <w:t xml:space="preserve"> </w:t>
      </w:r>
    </w:p>
    <w:p>
      <w:pPr>
        <w:spacing w:after="1701"/>
        <w:jc w:val="left"/>
        <w:rPr>
          <w:spacing w:val="4677"/>
          <w:sz w:val="52"/>
          <w:szCs w:val="52"/>
          <w:u w:val="single"/>
        </w:rPr>
      </w:pPr>
      <w:r>
        <w:rPr>
          <w:spacing w:val="4677"/>
          <w:sz w:val="52"/>
          <w:szCs w:val="52"/>
          <w:u w:val="single"/>
        </w:rPr>
        <w:t xml:space="preserve"> </w:t>
      </w:r>
    </w:p>
    <w:p>
      <w:pPr>
        <w:jc w:val="center"/>
        <w:rPr>
          <w:rFonts w:eastAsia="黑体"/>
          <w:b/>
          <w:bCs/>
          <w:sz w:val="52"/>
          <w:szCs w:val="52"/>
        </w:rPr>
      </w:pPr>
      <w:r>
        <w:rPr>
          <w:rFonts w:hint="eastAsia" w:eastAsia="黑体"/>
          <w:b/>
          <w:bCs/>
          <w:sz w:val="52"/>
          <w:szCs w:val="52"/>
        </w:rPr>
        <w:t>乳腺诊断X射线剂量计校准规范</w:t>
      </w:r>
    </w:p>
    <w:p>
      <w:pPr>
        <w:jc w:val="center"/>
        <w:rPr>
          <w:b/>
          <w:bCs/>
          <w:sz w:val="28"/>
        </w:rPr>
      </w:pPr>
      <w:r>
        <w:rPr>
          <w:b/>
          <w:bCs/>
          <w:sz w:val="28"/>
        </w:rPr>
        <w:t xml:space="preserve">Calibration Specification for </w:t>
      </w:r>
      <w:r>
        <w:rPr>
          <w:rFonts w:hint="eastAsia"/>
          <w:b/>
          <w:bCs/>
          <w:sz w:val="28"/>
        </w:rPr>
        <w:t xml:space="preserve">Diagnostic Dosimeters of Mammography </w:t>
      </w:r>
    </w:p>
    <w:p>
      <w:pPr>
        <w:jc w:val="center"/>
        <w:rPr>
          <w:b/>
          <w:sz w:val="30"/>
        </w:rPr>
      </w:pPr>
      <w:r>
        <w:rPr>
          <w:rFonts w:hint="eastAsia"/>
          <w:b/>
          <w:sz w:val="30"/>
        </w:rPr>
        <w:t>（</w:t>
      </w:r>
      <w:r>
        <w:rPr>
          <w:rFonts w:hint="eastAsia"/>
          <w:b/>
          <w:sz w:val="30"/>
          <w:lang w:val="en-US" w:eastAsia="zh-CN"/>
        </w:rPr>
        <w:t>征求意见</w:t>
      </w:r>
      <w:r>
        <w:rPr>
          <w:rFonts w:hint="eastAsia"/>
          <w:b/>
          <w:sz w:val="30"/>
        </w:rPr>
        <w:t>稿）</w:t>
      </w:r>
    </w:p>
    <w:p>
      <w:pPr>
        <w:jc w:val="center"/>
        <w:rPr>
          <w:b/>
          <w:bCs/>
          <w:sz w:val="52"/>
          <w:szCs w:val="52"/>
        </w:rPr>
      </w:pPr>
    </w:p>
    <w:p>
      <w:pPr>
        <w:rPr>
          <w:b/>
          <w:bCs/>
          <w:sz w:val="52"/>
          <w:szCs w:val="52"/>
        </w:rPr>
      </w:pPr>
    </w:p>
    <w:p>
      <w:pPr>
        <w:rPr>
          <w:b/>
          <w:bCs/>
          <w:sz w:val="52"/>
          <w:szCs w:val="52"/>
        </w:rPr>
      </w:pPr>
    </w:p>
    <w:p>
      <w:pPr>
        <w:rPr>
          <w:b/>
          <w:bCs/>
          <w:sz w:val="52"/>
          <w:szCs w:val="52"/>
        </w:rPr>
      </w:pPr>
    </w:p>
    <w:p>
      <w:pPr>
        <w:rPr>
          <w:sz w:val="52"/>
          <w:szCs w:val="52"/>
        </w:rPr>
      </w:pPr>
    </w:p>
    <w:p>
      <w:pPr>
        <w:spacing w:after="283"/>
        <w:rPr>
          <w:sz w:val="44"/>
          <w:szCs w:val="44"/>
          <w:u w:val="single"/>
        </w:rPr>
      </w:pPr>
      <w:r>
        <w:rPr>
          <w:rFonts w:eastAsia="黑体"/>
          <w:sz w:val="28"/>
          <w:szCs w:val="28"/>
          <w:u w:val="single"/>
        </w:rPr>
        <w:t xml:space="preserve">   xxxx-xx-xx发布                             xxxx-xx-xx实施   </w:t>
      </w:r>
    </w:p>
    <w:p>
      <w:pPr>
        <w:jc w:val="center"/>
        <w:rPr>
          <w:rFonts w:eastAsia="黑体"/>
          <w:b/>
          <w:bCs/>
          <w:snapToGrid w:val="0"/>
          <w:spacing w:val="57"/>
          <w:kern w:val="0"/>
          <w:sz w:val="36"/>
          <w:szCs w:val="36"/>
        </w:rPr>
      </w:pPr>
      <w:r>
        <w:rPr>
          <w:rFonts w:eastAsia="方正小标宋简体"/>
          <w:b/>
          <w:bCs/>
          <w:spacing w:val="57"/>
          <w:w w:val="110"/>
          <w:sz w:val="36"/>
          <w:szCs w:val="36"/>
        </w:rPr>
        <w:t>国家</w:t>
      </w:r>
      <w:r>
        <w:rPr>
          <w:rFonts w:hint="eastAsia" w:eastAsia="方正小标宋简体"/>
          <w:b/>
          <w:bCs/>
          <w:spacing w:val="57"/>
          <w:w w:val="110"/>
          <w:sz w:val="36"/>
          <w:szCs w:val="36"/>
          <w:lang w:val="en-US" w:eastAsia="zh-CN"/>
        </w:rPr>
        <w:t>市场监督管理</w:t>
      </w:r>
      <w:r>
        <w:rPr>
          <w:rFonts w:eastAsia="方正小标宋简体"/>
          <w:b/>
          <w:bCs/>
          <w:spacing w:val="57"/>
          <w:w w:val="110"/>
          <w:sz w:val="36"/>
          <w:szCs w:val="36"/>
        </w:rPr>
        <w:t>总</w:t>
      </w:r>
      <w:r>
        <w:rPr>
          <w:rFonts w:eastAsia="方正小标宋简体"/>
          <w:b/>
          <w:bCs/>
          <w:spacing w:val="142"/>
          <w:w w:val="110"/>
          <w:kern w:val="0"/>
          <w:sz w:val="36"/>
          <w:szCs w:val="36"/>
        </w:rPr>
        <w:t>局</w:t>
      </w:r>
      <w:r>
        <w:rPr>
          <w:rFonts w:eastAsia="黑体"/>
          <w:snapToGrid w:val="0"/>
          <w:spacing w:val="85"/>
          <w:kern w:val="0"/>
          <w:sz w:val="28"/>
          <w:szCs w:val="28"/>
        </w:rPr>
        <w:t>发布</w:t>
      </w:r>
    </w:p>
    <w:p>
      <w:pPr>
        <w:rPr>
          <w:rFonts w:eastAsia="黑体"/>
          <w:sz w:val="44"/>
          <w:szCs w:val="44"/>
        </w:rPr>
        <w:sectPr>
          <w:headerReference r:id="rId4" w:type="first"/>
          <w:headerReference r:id="rId3" w:type="default"/>
          <w:footerReference r:id="rId5" w:type="default"/>
          <w:footerReference r:id="rId6" w:type="even"/>
          <w:pgSz w:w="11906" w:h="16838"/>
          <w:pgMar w:top="1134" w:right="1599" w:bottom="1134" w:left="1599" w:header="851" w:footer="992" w:gutter="0"/>
          <w:pgNumType w:fmt="upperRoman" w:start="1"/>
          <w:cols w:space="720" w:num="1"/>
          <w:docGrid w:type="lines" w:linePitch="312" w:charSpace="0"/>
        </w:sectPr>
      </w:pPr>
    </w:p>
    <w:p>
      <w:pPr>
        <w:ind w:firstLine="531" w:firstLineChars="147"/>
        <w:rPr>
          <w:rFonts w:eastAsia="黑体"/>
          <w:b/>
          <w:bCs/>
          <w:sz w:val="36"/>
          <w:szCs w:val="36"/>
        </w:rPr>
      </w:pPr>
    </w:p>
    <w:p>
      <w:pPr>
        <w:rPr>
          <w:rFonts w:hint="eastAsia" w:eastAsia="黑体"/>
          <w:b/>
          <w:bCs/>
          <w:sz w:val="36"/>
          <w:szCs w:val="36"/>
          <w:lang w:eastAsia="zh-CN"/>
        </w:rPr>
      </w:pPr>
      <w:r>
        <w:rPr>
          <w:rFonts w:eastAsia="黑体"/>
          <w:sz w:val="36"/>
          <w:szCs w:val="36"/>
        </w:rPr>
        <mc:AlternateContent>
          <mc:Choice Requires="wps">
            <w:drawing>
              <wp:anchor distT="0" distB="0" distL="114300" distR="114300" simplePos="0" relativeHeight="251659264" behindDoc="0" locked="0" layoutInCell="1" allowOverlap="1">
                <wp:simplePos x="0" y="0"/>
                <wp:positionH relativeFrom="column">
                  <wp:posOffset>3586480</wp:posOffset>
                </wp:positionH>
                <wp:positionV relativeFrom="paragraph">
                  <wp:posOffset>189865</wp:posOffset>
                </wp:positionV>
                <wp:extent cx="1785620" cy="792480"/>
                <wp:effectExtent l="0" t="0" r="0" b="0"/>
                <wp:wrapNone/>
                <wp:docPr id="4" name="AutoShape 2"/>
                <wp:cNvGraphicFramePr/>
                <a:graphic xmlns:a="http://schemas.openxmlformats.org/drawingml/2006/main">
                  <a:graphicData uri="http://schemas.microsoft.com/office/word/2010/wordprocessingShape">
                    <wps:wsp>
                      <wps:cNvSpPr>
                        <a:spLocks noChangeArrowheads="1"/>
                      </wps:cNvSpPr>
                      <wps:spPr bwMode="auto">
                        <a:xfrm>
                          <a:off x="0" y="0"/>
                          <a:ext cx="1785620" cy="792480"/>
                        </a:xfrm>
                        <a:prstGeom prst="roundRect">
                          <a:avLst>
                            <a:gd name="adj" fmla="val 16667"/>
                          </a:avLst>
                        </a:prstGeom>
                        <a:solidFill>
                          <a:srgbClr val="FFFFFF"/>
                        </a:solidFill>
                        <a:ln w="38100" cap="rnd" cmpd="dbl">
                          <a:solidFill>
                            <a:srgbClr val="000000"/>
                          </a:solidFill>
                          <a:prstDash val="sysDot"/>
                          <a:round/>
                        </a:ln>
                        <a:effectLst/>
                      </wps:spPr>
                      <wps:txbx>
                        <w:txbxContent>
                          <w:p>
                            <w:pPr>
                              <w:spacing w:before="156" w:beforeLines="50"/>
                              <w:rPr>
                                <w:rFonts w:eastAsia="黑体"/>
                                <w:b/>
                                <w:bCs/>
                                <w:sz w:val="28"/>
                                <w:szCs w:val="28"/>
                              </w:rPr>
                            </w:pPr>
                            <w:r>
                              <w:rPr>
                                <w:rFonts w:eastAsia="黑体"/>
                                <w:b/>
                                <w:bCs/>
                                <w:sz w:val="28"/>
                                <w:szCs w:val="28"/>
                              </w:rPr>
                              <w:t>JJF</w:t>
                            </w:r>
                            <w:r>
                              <w:rPr>
                                <w:rFonts w:hint="eastAsia" w:eastAsia="黑体"/>
                                <w:b/>
                                <w:bCs/>
                                <w:sz w:val="28"/>
                                <w:szCs w:val="28"/>
                              </w:rPr>
                              <w:t xml:space="preserve"> </w:t>
                            </w:r>
                            <w:r>
                              <w:rPr>
                                <w:rFonts w:eastAsia="黑体"/>
                                <w:b/>
                                <w:bCs/>
                                <w:sz w:val="28"/>
                                <w:szCs w:val="28"/>
                              </w:rPr>
                              <w:t>X</w:t>
                            </w:r>
                            <w:r>
                              <w:rPr>
                                <w:rFonts w:hint="eastAsia" w:eastAsia="黑体"/>
                                <w:b/>
                                <w:bCs/>
                                <w:sz w:val="28"/>
                                <w:szCs w:val="28"/>
                              </w:rPr>
                              <w:t>X</w:t>
                            </w:r>
                            <w:r>
                              <w:rPr>
                                <w:rFonts w:eastAsia="黑体"/>
                                <w:b/>
                                <w:bCs/>
                                <w:sz w:val="28"/>
                                <w:szCs w:val="28"/>
                              </w:rPr>
                              <w:t>XX-XXXX</w:t>
                            </w:r>
                          </w:p>
                        </w:txbxContent>
                      </wps:txbx>
                      <wps:bodyPr rot="0" vert="horz" wrap="square" lIns="91440" tIns="45720" rIns="91440" bIns="45720" anchor="t" anchorCtr="0" upright="1">
                        <a:noAutofit/>
                      </wps:bodyPr>
                    </wps:wsp>
                  </a:graphicData>
                </a:graphic>
              </wp:anchor>
            </w:drawing>
          </mc:Choice>
          <mc:Fallback>
            <w:pict>
              <v:roundrect id="AutoShape 2" o:spid="_x0000_s1026" o:spt="2" style="position:absolute;left:0pt;margin-left:282.4pt;margin-top:14.95pt;height:62.4pt;width:140.6pt;z-index:251659264;mso-width-relative:page;mso-height-relative:page;" fillcolor="#FFFFFF" filled="t" stroked="t" coordsize="21600,21600" arcsize="0.166666666666667" o:gfxdata="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nIjpu2AAAAAoBAAAPAAAAAAAAAAEAIAAAACIAAABkcnMvZG93bnJldi54bWxQSwECFAAU&#10;AAAACACHTuJASkl0pGMCAADfBAAADgAAAAAAAAABACAAAAAnAQAAZHJzL2Uyb0RvYy54bWxQSwUG&#10;AAAAAAYABgBZAQAA/AUAAAAA&#10;">
                <v:fill on="t" focussize="0,0"/>
                <v:stroke weight="3pt" color="#000000" linestyle="thinThin" joinstyle="round" dashstyle="1 1" endcap="round"/>
                <v:imagedata o:title=""/>
                <o:lock v:ext="edit" aspectratio="f"/>
                <v:textbox>
                  <w:txbxContent>
                    <w:p>
                      <w:pPr>
                        <w:spacing w:before="156" w:beforeLines="50"/>
                        <w:rPr>
                          <w:rFonts w:eastAsia="黑体"/>
                          <w:b/>
                          <w:bCs/>
                          <w:sz w:val="28"/>
                          <w:szCs w:val="28"/>
                        </w:rPr>
                      </w:pPr>
                      <w:r>
                        <w:rPr>
                          <w:rFonts w:eastAsia="黑体"/>
                          <w:b/>
                          <w:bCs/>
                          <w:sz w:val="28"/>
                          <w:szCs w:val="28"/>
                        </w:rPr>
                        <w:t>JJF</w:t>
                      </w:r>
                      <w:r>
                        <w:rPr>
                          <w:rFonts w:hint="eastAsia" w:eastAsia="黑体"/>
                          <w:b/>
                          <w:bCs/>
                          <w:sz w:val="28"/>
                          <w:szCs w:val="28"/>
                        </w:rPr>
                        <w:t xml:space="preserve"> </w:t>
                      </w:r>
                      <w:r>
                        <w:rPr>
                          <w:rFonts w:eastAsia="黑体"/>
                          <w:b/>
                          <w:bCs/>
                          <w:sz w:val="28"/>
                          <w:szCs w:val="28"/>
                        </w:rPr>
                        <w:t>X</w:t>
                      </w:r>
                      <w:r>
                        <w:rPr>
                          <w:rFonts w:hint="eastAsia" w:eastAsia="黑体"/>
                          <w:b/>
                          <w:bCs/>
                          <w:sz w:val="28"/>
                          <w:szCs w:val="28"/>
                        </w:rPr>
                        <w:t>X</w:t>
                      </w:r>
                      <w:r>
                        <w:rPr>
                          <w:rFonts w:eastAsia="黑体"/>
                          <w:b/>
                          <w:bCs/>
                          <w:sz w:val="28"/>
                          <w:szCs w:val="28"/>
                        </w:rPr>
                        <w:t>XX-XXXX</w:t>
                      </w:r>
                    </w:p>
                  </w:txbxContent>
                </v:textbox>
              </v:roundrect>
            </w:pict>
          </mc:Fallback>
        </mc:AlternateContent>
      </w:r>
      <w:r>
        <w:rPr>
          <w:rFonts w:hint="eastAsia" w:eastAsia="黑体"/>
          <w:b/>
          <w:bCs/>
          <w:sz w:val="36"/>
          <w:szCs w:val="36"/>
          <w:lang w:eastAsia="zh-CN"/>
        </w:rPr>
        <w:t>乳腺诊断X射线剂量计校准规范</w:t>
      </w:r>
    </w:p>
    <w:p>
      <w:pPr>
        <w:ind w:firstLine="413" w:firstLineChars="147"/>
        <w:rPr>
          <w:b/>
          <w:bCs/>
          <w:sz w:val="28"/>
        </w:rPr>
      </w:pPr>
      <w:r>
        <w:rPr>
          <w:b/>
          <w:bCs/>
          <w:sz w:val="28"/>
        </w:rPr>
        <w:t xml:space="preserve">Calibration Specification for </w:t>
      </w:r>
      <w:r>
        <w:rPr>
          <w:rFonts w:hint="eastAsia"/>
          <w:b/>
          <w:bCs/>
          <w:sz w:val="28"/>
        </w:rPr>
        <w:t xml:space="preserve">Diagnostic </w:t>
      </w:r>
    </w:p>
    <w:p>
      <w:pPr>
        <w:ind w:firstLine="829" w:firstLineChars="295"/>
        <w:rPr>
          <w:b/>
          <w:bCs/>
          <w:sz w:val="28"/>
        </w:rPr>
      </w:pPr>
      <w:r>
        <w:rPr>
          <w:rFonts w:hint="eastAsia"/>
          <w:b/>
          <w:bCs/>
          <w:sz w:val="28"/>
        </w:rPr>
        <w:t>Dosimeters of Mammography</w:t>
      </w:r>
    </w:p>
    <w:p>
      <w:pPr>
        <w:rPr>
          <w:b/>
          <w:bCs/>
          <w:sz w:val="28"/>
          <w:u w:val="single"/>
        </w:rPr>
      </w:pPr>
      <w:r>
        <w:rPr>
          <w:b/>
          <w:bCs/>
          <w:sz w:val="28"/>
          <w:u w:val="single"/>
        </w:rPr>
        <w:t xml:space="preserve">                                                              </w:t>
      </w:r>
    </w:p>
    <w:p>
      <w:pPr>
        <w:rPr>
          <w:b/>
          <w:bCs/>
          <w:sz w:val="28"/>
        </w:rPr>
      </w:pPr>
    </w:p>
    <w:p>
      <w:pPr>
        <w:rPr>
          <w:b/>
          <w:bCs/>
          <w:sz w:val="28"/>
        </w:rPr>
      </w:pPr>
    </w:p>
    <w:p>
      <w:pPr>
        <w:rPr>
          <w:b/>
          <w:bCs/>
          <w:sz w:val="28"/>
        </w:rPr>
      </w:pPr>
    </w:p>
    <w:p>
      <w:pPr>
        <w:rPr>
          <w:b/>
          <w:bCs/>
          <w:sz w:val="28"/>
        </w:rPr>
      </w:pPr>
    </w:p>
    <w:p>
      <w:pPr>
        <w:rPr>
          <w:b/>
          <w:bCs/>
          <w:sz w:val="28"/>
        </w:rPr>
      </w:pPr>
    </w:p>
    <w:p>
      <w:pPr>
        <w:rPr>
          <w:b/>
          <w:bCs/>
          <w:sz w:val="28"/>
        </w:rPr>
      </w:pPr>
    </w:p>
    <w:p>
      <w:pPr>
        <w:rPr>
          <w:b/>
          <w:bCs/>
          <w:sz w:val="28"/>
        </w:rPr>
      </w:pPr>
    </w:p>
    <w:p>
      <w:pPr>
        <w:rPr>
          <w:b/>
          <w:bCs/>
          <w:sz w:val="28"/>
        </w:rPr>
      </w:pPr>
    </w:p>
    <w:p>
      <w:pPr>
        <w:rPr>
          <w:b/>
          <w:bCs/>
          <w:sz w:val="28"/>
        </w:rPr>
      </w:pPr>
    </w:p>
    <w:p>
      <w:pPr>
        <w:jc w:val="left"/>
        <w:rPr>
          <w:b/>
          <w:bCs/>
          <w:sz w:val="28"/>
        </w:rPr>
      </w:pPr>
      <w:r>
        <w:rPr>
          <w:b/>
          <w:bCs/>
          <w:sz w:val="28"/>
        </w:rPr>
        <w:t xml:space="preserve">            </w:t>
      </w:r>
      <w:r>
        <w:rPr>
          <w:rFonts w:eastAsia="黑体"/>
          <w:b/>
          <w:bCs/>
          <w:spacing w:val="11"/>
          <w:sz w:val="28"/>
        </w:rPr>
        <w:t>归 口 单 位</w:t>
      </w:r>
      <w:r>
        <w:rPr>
          <w:rFonts w:eastAsia="黑体"/>
          <w:b/>
          <w:bCs/>
          <w:sz w:val="28"/>
        </w:rPr>
        <w:t>：</w:t>
      </w:r>
      <w:r>
        <w:rPr>
          <w:sz w:val="28"/>
        </w:rPr>
        <w:t>全国电离辐射计量技术委员会</w:t>
      </w:r>
    </w:p>
    <w:p>
      <w:pPr>
        <w:rPr>
          <w:sz w:val="28"/>
        </w:rPr>
      </w:pPr>
      <w:r>
        <w:rPr>
          <w:b/>
          <w:bCs/>
          <w:sz w:val="28"/>
        </w:rPr>
        <w:t xml:space="preserve">            </w:t>
      </w:r>
      <w:r>
        <w:rPr>
          <w:rFonts w:eastAsia="黑体"/>
          <w:b/>
          <w:bCs/>
          <w:sz w:val="28"/>
        </w:rPr>
        <w:t>主要起草单位：</w:t>
      </w:r>
      <w:r>
        <w:rPr>
          <w:rFonts w:hint="eastAsia"/>
          <w:sz w:val="28"/>
        </w:rPr>
        <w:t>深圳市计量质量检测</w:t>
      </w:r>
      <w:r>
        <w:rPr>
          <w:sz w:val="28"/>
        </w:rPr>
        <w:t>研究院</w:t>
      </w:r>
    </w:p>
    <w:p>
      <w:pPr>
        <w:rPr>
          <w:rFonts w:hint="eastAsia"/>
          <w:bCs/>
          <w:sz w:val="28"/>
        </w:rPr>
      </w:pPr>
      <w:r>
        <w:rPr>
          <w:b/>
          <w:bCs/>
          <w:sz w:val="28"/>
        </w:rPr>
        <w:t xml:space="preserve">            参加起草单位：</w:t>
      </w:r>
      <w:r>
        <w:rPr>
          <w:rFonts w:hint="eastAsia"/>
          <w:bCs/>
          <w:sz w:val="28"/>
        </w:rPr>
        <w:t xml:space="preserve"> 中国测试技术研究院</w:t>
      </w:r>
    </w:p>
    <w:p>
      <w:pPr>
        <w:ind w:left="3360" w:leftChars="0" w:firstLine="420" w:firstLineChars="0"/>
        <w:rPr>
          <w:rFonts w:hint="default" w:eastAsia="宋体"/>
          <w:bCs/>
          <w:sz w:val="28"/>
          <w:lang w:val="en-US" w:eastAsia="zh-CN"/>
        </w:rPr>
      </w:pPr>
      <w:r>
        <w:rPr>
          <w:rFonts w:hint="eastAsia"/>
          <w:bCs/>
          <w:sz w:val="28"/>
          <w:lang w:val="en-US" w:eastAsia="zh-CN"/>
        </w:rPr>
        <w:t>中国计量科学研究院</w:t>
      </w:r>
    </w:p>
    <w:p>
      <w:pPr>
        <w:rPr>
          <w:b/>
          <w:bCs/>
          <w:sz w:val="28"/>
        </w:rPr>
      </w:pPr>
      <w:r>
        <w:rPr>
          <w:rFonts w:hint="eastAsia"/>
          <w:b/>
          <w:bCs/>
          <w:sz w:val="28"/>
        </w:rPr>
        <w:t xml:space="preserve">                           </w:t>
      </w:r>
      <w:r>
        <w:rPr>
          <w:rFonts w:hint="eastAsia"/>
          <w:sz w:val="28"/>
        </w:rPr>
        <w:t>广东省计量科学研究院</w:t>
      </w:r>
    </w:p>
    <w:p>
      <w:pPr>
        <w:rPr>
          <w:b/>
          <w:bCs/>
          <w:sz w:val="28"/>
        </w:rPr>
      </w:pPr>
    </w:p>
    <w:p>
      <w:pPr>
        <w:rPr>
          <w:b/>
          <w:bCs/>
          <w:sz w:val="28"/>
        </w:rPr>
      </w:pPr>
    </w:p>
    <w:p>
      <w:pPr>
        <w:rPr>
          <w:b/>
          <w:bCs/>
          <w:sz w:val="28"/>
        </w:rPr>
      </w:pPr>
    </w:p>
    <w:p>
      <w:pPr>
        <w:pStyle w:val="31"/>
        <w:tabs>
          <w:tab w:val="clear" w:pos="4240"/>
          <w:tab w:val="clear" w:pos="8500"/>
        </w:tabs>
        <w:jc w:val="center"/>
        <w:sectPr>
          <w:headerReference r:id="rId8" w:type="first"/>
          <w:footerReference r:id="rId10" w:type="first"/>
          <w:headerReference r:id="rId7" w:type="default"/>
          <w:footerReference r:id="rId9" w:type="default"/>
          <w:pgSz w:w="11906" w:h="16838"/>
          <w:pgMar w:top="1134" w:right="1599" w:bottom="1134" w:left="1599" w:header="851" w:footer="992" w:gutter="0"/>
          <w:pgNumType w:fmt="upperRoman" w:start="1"/>
          <w:cols w:space="720" w:num="1"/>
          <w:titlePg/>
          <w:docGrid w:type="lines" w:linePitch="312" w:charSpace="0"/>
        </w:sectPr>
      </w:pPr>
      <w:r>
        <w:t>本规范委托全国电离辐射计量技术委员会负责解释</w:t>
      </w:r>
    </w:p>
    <w:p>
      <w:pPr>
        <w:pStyle w:val="31"/>
        <w:tabs>
          <w:tab w:val="clear" w:pos="4240"/>
          <w:tab w:val="clear" w:pos="8500"/>
        </w:tabs>
        <w:jc w:val="center"/>
      </w:pPr>
    </w:p>
    <w:p>
      <w:pPr>
        <w:jc w:val="center"/>
        <w:rPr>
          <w:sz w:val="28"/>
        </w:rPr>
      </w:pPr>
    </w:p>
    <w:p>
      <w:pPr>
        <w:jc w:val="left"/>
        <w:rPr>
          <w:sz w:val="28"/>
        </w:rPr>
      </w:pPr>
      <w:r>
        <w:rPr>
          <w:sz w:val="28"/>
        </w:rPr>
        <w:t xml:space="preserve">    </w:t>
      </w:r>
      <w:r>
        <w:rPr>
          <w:rFonts w:eastAsia="黑体"/>
          <w:b/>
          <w:bCs/>
          <w:sz w:val="28"/>
        </w:rPr>
        <w:t>本规范主要起草人：</w:t>
      </w:r>
    </w:p>
    <w:p>
      <w:pPr>
        <w:ind w:firstLine="1960" w:firstLineChars="700"/>
        <w:jc w:val="left"/>
        <w:rPr>
          <w:sz w:val="28"/>
        </w:rPr>
      </w:pPr>
      <w:r>
        <w:rPr>
          <w:rFonts w:hint="eastAsia"/>
          <w:sz w:val="28"/>
        </w:rPr>
        <w:t>周迎春（深圳市计量质量检测研究院）</w:t>
      </w:r>
    </w:p>
    <w:p>
      <w:pPr>
        <w:ind w:firstLine="1960" w:firstLineChars="700"/>
        <w:jc w:val="left"/>
        <w:rPr>
          <w:sz w:val="28"/>
        </w:rPr>
      </w:pPr>
      <w:r>
        <w:rPr>
          <w:rFonts w:hint="eastAsia"/>
          <w:sz w:val="28"/>
        </w:rPr>
        <w:t>杨  勇（中国测试技术研究院）</w:t>
      </w:r>
    </w:p>
    <w:p>
      <w:pPr>
        <w:tabs>
          <w:tab w:val="left" w:pos="6286"/>
        </w:tabs>
        <w:ind w:firstLine="1960" w:firstLineChars="700"/>
        <w:jc w:val="left"/>
        <w:rPr>
          <w:color w:val="auto"/>
          <w:sz w:val="28"/>
        </w:rPr>
      </w:pPr>
      <w:r>
        <w:rPr>
          <w:rFonts w:hint="eastAsia"/>
          <w:color w:val="auto"/>
          <w:sz w:val="28"/>
        </w:rPr>
        <w:t>郭思明（中国计量科学研究院）</w:t>
      </w:r>
    </w:p>
    <w:p>
      <w:pPr>
        <w:ind w:firstLine="1960" w:firstLineChars="700"/>
        <w:jc w:val="left"/>
        <w:rPr>
          <w:sz w:val="28"/>
        </w:rPr>
      </w:pPr>
      <w:r>
        <w:rPr>
          <w:rFonts w:hint="eastAsia"/>
          <w:sz w:val="28"/>
        </w:rPr>
        <w:t>何  韵（广东省计量科学研究院）</w:t>
      </w:r>
    </w:p>
    <w:p>
      <w:pPr>
        <w:jc w:val="left"/>
        <w:rPr>
          <w:rFonts w:eastAsia="黑体"/>
          <w:bCs/>
          <w:sz w:val="28"/>
          <w:szCs w:val="28"/>
        </w:rPr>
      </w:pPr>
    </w:p>
    <w:p>
      <w:pPr>
        <w:jc w:val="left"/>
        <w:rPr>
          <w:rFonts w:eastAsia="黑体"/>
          <w:b/>
          <w:bCs/>
          <w:sz w:val="28"/>
        </w:rPr>
      </w:pPr>
      <w:r>
        <w:rPr>
          <w:rFonts w:eastAsia="黑体"/>
          <w:b/>
          <w:bCs/>
          <w:sz w:val="28"/>
        </w:rPr>
        <w:t xml:space="preserve">          参加起草人：</w:t>
      </w:r>
    </w:p>
    <w:p>
      <w:pPr>
        <w:rPr>
          <w:sz w:val="28"/>
          <w:szCs w:val="28"/>
        </w:rPr>
      </w:pPr>
      <w:r>
        <w:rPr>
          <w:rFonts w:hint="eastAsia"/>
          <w:sz w:val="28"/>
          <w:szCs w:val="28"/>
        </w:rPr>
        <w:t xml:space="preserve">              王克亮（深圳市计量质量检测研究院）</w:t>
      </w:r>
    </w:p>
    <w:p>
      <w:pPr>
        <w:ind w:firstLine="1960" w:firstLineChars="700"/>
        <w:rPr>
          <w:sz w:val="28"/>
          <w:szCs w:val="28"/>
        </w:rPr>
      </w:pPr>
      <w:r>
        <w:rPr>
          <w:rFonts w:hint="eastAsia"/>
          <w:sz w:val="28"/>
          <w:szCs w:val="28"/>
        </w:rPr>
        <w:t>廖振宇（深圳市计量质量检测研究院）</w:t>
      </w:r>
    </w:p>
    <w:p>
      <w:pPr>
        <w:ind w:firstLine="1979" w:firstLineChars="707"/>
        <w:rPr>
          <w:sz w:val="28"/>
          <w:szCs w:val="28"/>
        </w:rPr>
      </w:pPr>
    </w:p>
    <w:p>
      <w:pPr>
        <w:jc w:val="left"/>
        <w:rPr>
          <w:rFonts w:eastAsia="黑体"/>
          <w:b/>
          <w:bCs/>
          <w:color w:val="FF0000"/>
          <w:sz w:val="44"/>
          <w:szCs w:val="44"/>
        </w:rPr>
        <w:sectPr>
          <w:headerReference r:id="rId11" w:type="default"/>
          <w:pgSz w:w="11906" w:h="16838"/>
          <w:pgMar w:top="1134" w:right="1599" w:bottom="1134" w:left="1599" w:header="851" w:footer="992" w:gutter="0"/>
          <w:pgNumType w:fmt="upperRoman" w:start="1"/>
          <w:cols w:space="720" w:num="1"/>
          <w:titlePg/>
          <w:docGrid w:type="lines" w:linePitch="312" w:charSpace="0"/>
        </w:sectPr>
      </w:pPr>
      <w:r>
        <w:rPr>
          <w:rFonts w:hint="eastAsia" w:eastAsia="黑体"/>
          <w:b/>
          <w:bCs/>
          <w:color w:val="FF0000"/>
          <w:sz w:val="44"/>
          <w:szCs w:val="44"/>
        </w:rPr>
        <w:tab/>
      </w:r>
      <w:r>
        <w:rPr>
          <w:rFonts w:hint="eastAsia" w:eastAsia="黑体"/>
          <w:b/>
          <w:bCs/>
          <w:color w:val="FF0000"/>
          <w:sz w:val="44"/>
          <w:szCs w:val="44"/>
        </w:rPr>
        <w:tab/>
      </w:r>
      <w:r>
        <w:rPr>
          <w:rFonts w:hint="eastAsia" w:eastAsia="黑体"/>
          <w:b/>
          <w:bCs/>
          <w:color w:val="FF0000"/>
          <w:sz w:val="44"/>
          <w:szCs w:val="44"/>
        </w:rPr>
        <w:tab/>
      </w:r>
      <w:r>
        <w:rPr>
          <w:rFonts w:hint="eastAsia" w:eastAsia="黑体"/>
          <w:b/>
          <w:bCs/>
          <w:color w:val="FF0000"/>
          <w:sz w:val="44"/>
          <w:szCs w:val="44"/>
        </w:rPr>
        <w:tab/>
      </w:r>
      <w:r>
        <w:rPr>
          <w:rFonts w:hint="eastAsia" w:eastAsia="黑体"/>
          <w:b/>
          <w:bCs/>
          <w:color w:val="FF0000"/>
          <w:sz w:val="44"/>
          <w:szCs w:val="44"/>
        </w:rPr>
        <w:tab/>
      </w:r>
      <w:r>
        <w:rPr>
          <w:rFonts w:hint="eastAsia" w:eastAsia="黑体"/>
          <w:b/>
          <w:bCs/>
          <w:color w:val="FF0000"/>
          <w:sz w:val="44"/>
          <w:szCs w:val="44"/>
        </w:rPr>
        <w:tab/>
      </w:r>
    </w:p>
    <w:p>
      <w:pPr>
        <w:jc w:val="center"/>
        <w:rPr>
          <w:rFonts w:eastAsia="黑体"/>
          <w:sz w:val="44"/>
          <w:szCs w:val="44"/>
        </w:rPr>
      </w:pPr>
    </w:p>
    <w:p>
      <w:pPr>
        <w:spacing w:after="156" w:afterLines="50"/>
        <w:jc w:val="center"/>
        <w:rPr>
          <w:rFonts w:eastAsia="黑体"/>
          <w:sz w:val="44"/>
          <w:szCs w:val="44"/>
        </w:rPr>
      </w:pPr>
      <w:r>
        <w:rPr>
          <w:rFonts w:eastAsia="黑体"/>
          <w:sz w:val="44"/>
          <w:szCs w:val="44"/>
        </w:rPr>
        <w:t>目    录</w:t>
      </w:r>
    </w:p>
    <w:p>
      <w:pPr>
        <w:pStyle w:val="22"/>
        <w:spacing w:line="360" w:lineRule="auto"/>
        <w:rPr>
          <w:rFonts w:ascii="宋体" w:hAnsi="宋体"/>
          <w:sz w:val="24"/>
        </w:rPr>
      </w:pPr>
      <w:r>
        <w:rPr>
          <w:rFonts w:ascii="宋体" w:hAnsi="宋体"/>
          <w:color w:val="FF0000"/>
          <w:sz w:val="24"/>
        </w:rPr>
        <w:fldChar w:fldCharType="begin"/>
      </w:r>
      <w:r>
        <w:rPr>
          <w:rFonts w:ascii="宋体" w:hAnsi="宋体"/>
          <w:color w:val="FF0000"/>
          <w:sz w:val="24"/>
        </w:rPr>
        <w:instrText xml:space="preserve"> TOC \o "1-7" \h \z \u </w:instrText>
      </w:r>
      <w:r>
        <w:rPr>
          <w:rFonts w:ascii="宋体" w:hAnsi="宋体"/>
          <w:color w:val="FF0000"/>
          <w:sz w:val="24"/>
        </w:rPr>
        <w:fldChar w:fldCharType="separate"/>
      </w:r>
      <w:r>
        <w:fldChar w:fldCharType="begin"/>
      </w:r>
      <w:r>
        <w:instrText xml:space="preserve"> HYPERLINK \l "_Toc490329513" </w:instrText>
      </w:r>
      <w:r>
        <w:fldChar w:fldCharType="separate"/>
      </w:r>
      <w:r>
        <w:rPr>
          <w:rStyle w:val="30"/>
          <w:rFonts w:hint="eastAsia" w:ascii="宋体" w:hAnsi="宋体"/>
          <w:sz w:val="24"/>
        </w:rPr>
        <w:t>引</w:t>
      </w:r>
      <w:r>
        <w:rPr>
          <w:rStyle w:val="30"/>
          <w:rFonts w:ascii="宋体" w:hAnsi="宋体"/>
          <w:sz w:val="24"/>
        </w:rPr>
        <w:t xml:space="preserve">    </w:t>
      </w:r>
      <w:r>
        <w:rPr>
          <w:rStyle w:val="30"/>
          <w:rFonts w:hint="eastAsia" w:ascii="宋体" w:hAnsi="宋体"/>
          <w:sz w:val="24"/>
        </w:rPr>
        <w:t>言</w:t>
      </w:r>
      <w:r>
        <w:rPr>
          <w:rFonts w:ascii="宋体" w:hAnsi="宋体"/>
          <w:sz w:val="24"/>
        </w:rPr>
        <w:tab/>
      </w:r>
      <w:r>
        <w:rPr>
          <w:rFonts w:ascii="宋体" w:hAnsi="宋体"/>
          <w:sz w:val="24"/>
        </w:rPr>
        <w:fldChar w:fldCharType="begin"/>
      </w:r>
      <w:r>
        <w:rPr>
          <w:rFonts w:ascii="宋体" w:hAnsi="宋体"/>
          <w:sz w:val="24"/>
        </w:rPr>
        <w:instrText xml:space="preserve"> PAGEREF _Toc490329513 \h </w:instrText>
      </w:r>
      <w:r>
        <w:rPr>
          <w:rFonts w:ascii="宋体" w:hAnsi="宋体"/>
          <w:sz w:val="24"/>
        </w:rPr>
        <w:fldChar w:fldCharType="separate"/>
      </w:r>
      <w:r>
        <w:rPr>
          <w:rFonts w:ascii="宋体" w:hAnsi="宋体"/>
          <w:sz w:val="24"/>
        </w:rPr>
        <w:t>II</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"_Toc490329514" </w:instrText>
      </w:r>
      <w:r>
        <w:fldChar w:fldCharType="separate"/>
      </w:r>
      <w:r>
        <w:rPr>
          <w:rStyle w:val="30"/>
          <w:rFonts w:ascii="宋体" w:hAnsi="宋体"/>
          <w:sz w:val="24"/>
        </w:rPr>
        <w:t xml:space="preserve">1  </w:t>
      </w:r>
      <w:r>
        <w:rPr>
          <w:rStyle w:val="30"/>
          <w:rFonts w:hint="eastAsia" w:ascii="宋体" w:hAnsi="宋体"/>
          <w:sz w:val="24"/>
        </w:rPr>
        <w:t>范围</w:t>
      </w:r>
      <w:r>
        <w:rPr>
          <w:rFonts w:ascii="宋体" w:hAnsi="宋体"/>
          <w:sz w:val="24"/>
        </w:rPr>
        <w:tab/>
      </w:r>
      <w:r>
        <w:rPr>
          <w:rFonts w:ascii="宋体" w:hAnsi="宋体"/>
          <w:sz w:val="24"/>
        </w:rPr>
        <w:fldChar w:fldCharType="begin"/>
      </w:r>
      <w:r>
        <w:rPr>
          <w:rFonts w:ascii="宋体" w:hAnsi="宋体"/>
          <w:sz w:val="24"/>
        </w:rPr>
        <w:instrText xml:space="preserve"> PAGEREF _Toc490329514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"_Toc490329515" </w:instrText>
      </w:r>
      <w:r>
        <w:fldChar w:fldCharType="separate"/>
      </w:r>
      <w:r>
        <w:rPr>
          <w:rStyle w:val="30"/>
          <w:rFonts w:ascii="宋体" w:hAnsi="宋体"/>
          <w:sz w:val="24"/>
        </w:rPr>
        <w:t xml:space="preserve">2  </w:t>
      </w:r>
      <w:r>
        <w:rPr>
          <w:rStyle w:val="30"/>
          <w:rFonts w:hint="eastAsia" w:ascii="宋体" w:hAnsi="宋体"/>
          <w:sz w:val="24"/>
        </w:rPr>
        <w:t>引用文件</w:t>
      </w:r>
      <w:r>
        <w:rPr>
          <w:rFonts w:ascii="宋体" w:hAnsi="宋体"/>
          <w:sz w:val="24"/>
        </w:rPr>
        <w:tab/>
      </w:r>
      <w:r>
        <w:rPr>
          <w:rFonts w:ascii="宋体" w:hAnsi="宋体"/>
          <w:sz w:val="24"/>
        </w:rPr>
        <w:fldChar w:fldCharType="begin"/>
      </w:r>
      <w:r>
        <w:rPr>
          <w:rFonts w:ascii="宋体" w:hAnsi="宋体"/>
          <w:sz w:val="24"/>
        </w:rPr>
        <w:instrText xml:space="preserve"> PAGEREF _Toc490329515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"_Toc490329516" </w:instrText>
      </w:r>
      <w:r>
        <w:fldChar w:fldCharType="separate"/>
      </w:r>
      <w:r>
        <w:rPr>
          <w:rStyle w:val="30"/>
          <w:rFonts w:ascii="宋体" w:hAnsi="宋体"/>
          <w:sz w:val="24"/>
        </w:rPr>
        <w:t xml:space="preserve">3  </w:t>
      </w:r>
      <w:r>
        <w:rPr>
          <w:rStyle w:val="30"/>
          <w:rFonts w:hint="eastAsia" w:ascii="宋体" w:hAnsi="宋体"/>
          <w:sz w:val="24"/>
        </w:rPr>
        <w:t>术语及计量单位</w:t>
      </w:r>
      <w:r>
        <w:rPr>
          <w:rFonts w:ascii="宋体" w:hAnsi="宋体"/>
          <w:sz w:val="24"/>
        </w:rPr>
        <w:tab/>
      </w:r>
      <w:r>
        <w:rPr>
          <w:rFonts w:ascii="宋体" w:hAnsi="宋体"/>
          <w:sz w:val="24"/>
        </w:rPr>
        <w:fldChar w:fldCharType="begin"/>
      </w:r>
      <w:r>
        <w:rPr>
          <w:rFonts w:ascii="宋体" w:hAnsi="宋体"/>
          <w:sz w:val="24"/>
        </w:rPr>
        <w:instrText xml:space="preserve"> PAGEREF _Toc490329516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"_Toc490329517" </w:instrText>
      </w:r>
      <w:r>
        <w:fldChar w:fldCharType="separate"/>
      </w:r>
      <w:r>
        <w:rPr>
          <w:rStyle w:val="30"/>
          <w:rFonts w:ascii="宋体" w:hAnsi="宋体"/>
          <w:sz w:val="24"/>
        </w:rPr>
        <w:t xml:space="preserve">3.1  </w:t>
      </w:r>
      <w:r>
        <w:rPr>
          <w:rStyle w:val="30"/>
          <w:rFonts w:hint="eastAsia" w:ascii="宋体" w:hAnsi="宋体"/>
          <w:sz w:val="24"/>
        </w:rPr>
        <w:t>术语</w:t>
      </w:r>
      <w:r>
        <w:rPr>
          <w:rFonts w:ascii="宋体" w:hAnsi="宋体"/>
          <w:sz w:val="24"/>
        </w:rPr>
        <w:tab/>
      </w:r>
      <w:r>
        <w:rPr>
          <w:rFonts w:ascii="宋体" w:hAnsi="宋体"/>
          <w:sz w:val="24"/>
        </w:rPr>
        <w:fldChar w:fldCharType="begin"/>
      </w:r>
      <w:r>
        <w:rPr>
          <w:rFonts w:ascii="宋体" w:hAnsi="宋体"/>
          <w:sz w:val="24"/>
        </w:rPr>
        <w:instrText xml:space="preserve"> PAGEREF _Toc490329517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"_Toc490329518" </w:instrText>
      </w:r>
      <w:r>
        <w:fldChar w:fldCharType="separate"/>
      </w:r>
      <w:r>
        <w:rPr>
          <w:rStyle w:val="30"/>
          <w:rFonts w:ascii="宋体" w:hAnsi="宋体"/>
          <w:sz w:val="24"/>
        </w:rPr>
        <w:t xml:space="preserve">3.2  </w:t>
      </w:r>
      <w:r>
        <w:rPr>
          <w:rStyle w:val="30"/>
          <w:rFonts w:hint="eastAsia" w:ascii="宋体" w:hAnsi="宋体"/>
          <w:sz w:val="24"/>
        </w:rPr>
        <w:t>计量单位</w:t>
      </w:r>
      <w:r>
        <w:rPr>
          <w:rFonts w:ascii="宋体" w:hAnsi="宋体"/>
          <w:sz w:val="24"/>
        </w:rPr>
        <w:tab/>
      </w:r>
      <w:r>
        <w:rPr>
          <w:rFonts w:ascii="宋体" w:hAnsi="宋体"/>
          <w:sz w:val="24"/>
        </w:rPr>
        <w:fldChar w:fldCharType="begin"/>
      </w:r>
      <w:r>
        <w:rPr>
          <w:rFonts w:ascii="宋体" w:hAnsi="宋体"/>
          <w:sz w:val="24"/>
        </w:rPr>
        <w:instrText xml:space="preserve"> PAGEREF _Toc490329518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"_Toc490329519" </w:instrText>
      </w:r>
      <w:r>
        <w:fldChar w:fldCharType="separate"/>
      </w:r>
      <w:r>
        <w:rPr>
          <w:rStyle w:val="30"/>
          <w:rFonts w:ascii="宋体" w:hAnsi="宋体"/>
          <w:sz w:val="24"/>
        </w:rPr>
        <w:t xml:space="preserve">4  </w:t>
      </w:r>
      <w:r>
        <w:rPr>
          <w:rStyle w:val="30"/>
          <w:rFonts w:hint="eastAsia" w:ascii="宋体" w:hAnsi="宋体"/>
          <w:sz w:val="24"/>
        </w:rPr>
        <w:t>概述</w:t>
      </w:r>
      <w:r>
        <w:rPr>
          <w:rFonts w:ascii="宋体" w:hAnsi="宋体"/>
          <w:sz w:val="24"/>
        </w:rPr>
        <w:tab/>
      </w:r>
      <w:r>
        <w:rPr>
          <w:rFonts w:ascii="宋体" w:hAnsi="宋体"/>
          <w:sz w:val="24"/>
        </w:rPr>
        <w:fldChar w:fldCharType="begin"/>
      </w:r>
      <w:r>
        <w:rPr>
          <w:rFonts w:ascii="宋体" w:hAnsi="宋体"/>
          <w:sz w:val="24"/>
        </w:rPr>
        <w:instrText xml:space="preserve"> PAGEREF _Toc490329519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"_Toc490329520" </w:instrText>
      </w:r>
      <w:r>
        <w:fldChar w:fldCharType="separate"/>
      </w:r>
      <w:r>
        <w:rPr>
          <w:rStyle w:val="30"/>
          <w:rFonts w:ascii="宋体" w:hAnsi="宋体"/>
          <w:sz w:val="24"/>
        </w:rPr>
        <w:t xml:space="preserve">5  </w:t>
      </w:r>
      <w:r>
        <w:rPr>
          <w:rStyle w:val="30"/>
          <w:rFonts w:hint="eastAsia" w:ascii="宋体" w:hAnsi="宋体"/>
          <w:sz w:val="24"/>
        </w:rPr>
        <w:t>计量特性</w:t>
      </w:r>
      <w:r>
        <w:rPr>
          <w:rFonts w:ascii="宋体" w:hAnsi="宋体"/>
          <w:sz w:val="24"/>
        </w:rPr>
        <w:tab/>
      </w:r>
      <w:r>
        <w:rPr>
          <w:rFonts w:ascii="宋体" w:hAnsi="宋体"/>
          <w:sz w:val="24"/>
        </w:rPr>
        <w:fldChar w:fldCharType="begin"/>
      </w:r>
      <w:r>
        <w:rPr>
          <w:rFonts w:ascii="宋体" w:hAnsi="宋体"/>
          <w:sz w:val="24"/>
        </w:rPr>
        <w:instrText xml:space="preserve"> PAGEREF _Toc490329520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"_Toc490329521" </w:instrText>
      </w:r>
      <w:r>
        <w:fldChar w:fldCharType="separate"/>
      </w:r>
      <w:r>
        <w:rPr>
          <w:rStyle w:val="30"/>
          <w:rFonts w:ascii="宋体" w:hAnsi="宋体"/>
          <w:sz w:val="24"/>
        </w:rPr>
        <w:t xml:space="preserve">6  </w:t>
      </w:r>
      <w:r>
        <w:rPr>
          <w:rStyle w:val="30"/>
          <w:rFonts w:hint="eastAsia" w:ascii="宋体" w:hAnsi="宋体"/>
          <w:sz w:val="24"/>
        </w:rPr>
        <w:t>校准条件</w:t>
      </w:r>
      <w:r>
        <w:rPr>
          <w:rFonts w:ascii="宋体" w:hAnsi="宋体"/>
          <w:sz w:val="24"/>
        </w:rPr>
        <w:tab/>
      </w:r>
      <w:r>
        <w:rPr>
          <w:rFonts w:ascii="宋体" w:hAnsi="宋体"/>
          <w:sz w:val="24"/>
        </w:rPr>
        <w:fldChar w:fldCharType="begin"/>
      </w:r>
      <w:r>
        <w:rPr>
          <w:rFonts w:ascii="宋体" w:hAnsi="宋体"/>
          <w:sz w:val="24"/>
        </w:rPr>
        <w:instrText xml:space="preserve"> PAGEREF _Toc490329521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"_Toc490329522" </w:instrText>
      </w:r>
      <w:r>
        <w:fldChar w:fldCharType="separate"/>
      </w:r>
      <w:r>
        <w:rPr>
          <w:rStyle w:val="30"/>
          <w:rFonts w:ascii="宋体" w:hAnsi="宋体"/>
          <w:sz w:val="24"/>
        </w:rPr>
        <w:t xml:space="preserve">6.1  </w:t>
      </w:r>
      <w:r>
        <w:rPr>
          <w:rStyle w:val="30"/>
          <w:rFonts w:hint="eastAsia" w:ascii="宋体" w:hAnsi="宋体"/>
          <w:sz w:val="24"/>
        </w:rPr>
        <w:t>环境条件</w:t>
      </w:r>
      <w:r>
        <w:rPr>
          <w:rFonts w:ascii="宋体" w:hAnsi="宋体"/>
          <w:sz w:val="24"/>
        </w:rPr>
        <w:tab/>
      </w:r>
      <w:r>
        <w:rPr>
          <w:rFonts w:ascii="宋体" w:hAnsi="宋体"/>
          <w:sz w:val="24"/>
        </w:rPr>
        <w:fldChar w:fldCharType="begin"/>
      </w:r>
      <w:r>
        <w:rPr>
          <w:rFonts w:ascii="宋体" w:hAnsi="宋体"/>
          <w:sz w:val="24"/>
        </w:rPr>
        <w:instrText xml:space="preserve"> PAGEREF _Toc490329522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"_Toc490329523" </w:instrText>
      </w:r>
      <w:r>
        <w:fldChar w:fldCharType="separate"/>
      </w:r>
      <w:r>
        <w:rPr>
          <w:rStyle w:val="30"/>
          <w:rFonts w:ascii="宋体" w:hAnsi="宋体"/>
          <w:sz w:val="24"/>
        </w:rPr>
        <w:t xml:space="preserve">6.2  </w:t>
      </w:r>
      <w:r>
        <w:rPr>
          <w:rStyle w:val="30"/>
          <w:rFonts w:hint="eastAsia" w:ascii="宋体" w:hAnsi="宋体"/>
          <w:sz w:val="24"/>
        </w:rPr>
        <w:t>测量标准及其他设备</w:t>
      </w:r>
      <w:r>
        <w:rPr>
          <w:rFonts w:ascii="宋体" w:hAnsi="宋体"/>
          <w:sz w:val="24"/>
        </w:rPr>
        <w:tab/>
      </w:r>
      <w:r>
        <w:rPr>
          <w:rFonts w:ascii="宋体" w:hAnsi="宋体"/>
          <w:sz w:val="24"/>
        </w:rPr>
        <w:fldChar w:fldCharType="begin"/>
      </w:r>
      <w:r>
        <w:rPr>
          <w:rFonts w:ascii="宋体" w:hAnsi="宋体"/>
          <w:sz w:val="24"/>
        </w:rPr>
        <w:instrText xml:space="preserve"> PAGEREF _Toc490329523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"_Toc490329524" </w:instrText>
      </w:r>
      <w:r>
        <w:fldChar w:fldCharType="separate"/>
      </w:r>
      <w:r>
        <w:rPr>
          <w:rStyle w:val="30"/>
          <w:rFonts w:ascii="宋体" w:hAnsi="宋体"/>
          <w:sz w:val="24"/>
        </w:rPr>
        <w:t xml:space="preserve">7  </w:t>
      </w:r>
      <w:r>
        <w:rPr>
          <w:rStyle w:val="30"/>
          <w:rFonts w:hint="eastAsia" w:ascii="宋体" w:hAnsi="宋体"/>
          <w:sz w:val="24"/>
        </w:rPr>
        <w:t>校准项目和校准方法</w:t>
      </w:r>
      <w:r>
        <w:rPr>
          <w:rFonts w:ascii="宋体" w:hAnsi="宋体"/>
          <w:sz w:val="24"/>
        </w:rPr>
        <w:tab/>
      </w:r>
      <w:r>
        <w:rPr>
          <w:rFonts w:ascii="宋体" w:hAnsi="宋体"/>
          <w:sz w:val="24"/>
        </w:rPr>
        <w:fldChar w:fldCharType="begin"/>
      </w:r>
      <w:r>
        <w:rPr>
          <w:rFonts w:ascii="宋体" w:hAnsi="宋体"/>
          <w:sz w:val="24"/>
        </w:rPr>
        <w:instrText xml:space="preserve"> PAGEREF _Toc490329524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"_Toc490329525" </w:instrText>
      </w:r>
      <w:r>
        <w:fldChar w:fldCharType="separate"/>
      </w:r>
      <w:r>
        <w:rPr>
          <w:rStyle w:val="30"/>
          <w:rFonts w:ascii="宋体" w:hAnsi="宋体"/>
          <w:sz w:val="24"/>
        </w:rPr>
        <w:t xml:space="preserve">7.1  </w:t>
      </w:r>
      <w:r>
        <w:rPr>
          <w:rStyle w:val="30"/>
          <w:rFonts w:hint="eastAsia" w:ascii="宋体" w:hAnsi="宋体"/>
          <w:sz w:val="24"/>
        </w:rPr>
        <w:t>校准项目</w:t>
      </w:r>
      <w:r>
        <w:rPr>
          <w:rFonts w:ascii="宋体" w:hAnsi="宋体"/>
          <w:sz w:val="24"/>
        </w:rPr>
        <w:tab/>
      </w:r>
      <w:r>
        <w:rPr>
          <w:rFonts w:ascii="宋体" w:hAnsi="宋体"/>
          <w:sz w:val="24"/>
        </w:rPr>
        <w:fldChar w:fldCharType="begin"/>
      </w:r>
      <w:r>
        <w:rPr>
          <w:rFonts w:ascii="宋体" w:hAnsi="宋体"/>
          <w:sz w:val="24"/>
        </w:rPr>
        <w:instrText xml:space="preserve"> PAGEREF _Toc490329525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"_Toc490329526" </w:instrText>
      </w:r>
      <w:r>
        <w:fldChar w:fldCharType="separate"/>
      </w:r>
      <w:r>
        <w:rPr>
          <w:rStyle w:val="30"/>
          <w:rFonts w:ascii="宋体" w:hAnsi="宋体"/>
          <w:sz w:val="24"/>
        </w:rPr>
        <w:t xml:space="preserve">7.2  </w:t>
      </w:r>
      <w:r>
        <w:rPr>
          <w:rStyle w:val="30"/>
          <w:rFonts w:hint="eastAsia" w:ascii="宋体" w:hAnsi="宋体"/>
          <w:sz w:val="24"/>
        </w:rPr>
        <w:t>测量重复性</w:t>
      </w:r>
      <w:r>
        <w:rPr>
          <w:rFonts w:ascii="宋体" w:hAnsi="宋体"/>
          <w:sz w:val="24"/>
        </w:rPr>
        <w:tab/>
      </w:r>
      <w:r>
        <w:rPr>
          <w:rFonts w:ascii="宋体" w:hAnsi="宋体"/>
          <w:sz w:val="24"/>
        </w:rPr>
        <w:fldChar w:fldCharType="begin"/>
      </w:r>
      <w:r>
        <w:rPr>
          <w:rFonts w:ascii="宋体" w:hAnsi="宋体"/>
          <w:sz w:val="24"/>
        </w:rPr>
        <w:instrText xml:space="preserve"> PAGEREF _Toc490329526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"_Toc490329527" </w:instrText>
      </w:r>
      <w:r>
        <w:fldChar w:fldCharType="separate"/>
      </w:r>
      <w:r>
        <w:rPr>
          <w:rStyle w:val="30"/>
          <w:rFonts w:ascii="宋体" w:hAnsi="宋体"/>
          <w:sz w:val="24"/>
        </w:rPr>
        <w:t xml:space="preserve">7.3  </w:t>
      </w:r>
      <w:r>
        <w:rPr>
          <w:rStyle w:val="30"/>
          <w:rFonts w:hint="eastAsia" w:ascii="宋体" w:hAnsi="宋体"/>
          <w:sz w:val="24"/>
        </w:rPr>
        <w:t>校准因子</w:t>
      </w:r>
      <w:r>
        <w:rPr>
          <w:rFonts w:ascii="宋体" w:hAnsi="宋体"/>
          <w:sz w:val="24"/>
        </w:rPr>
        <w:tab/>
      </w:r>
      <w:r>
        <w:rPr>
          <w:rFonts w:ascii="宋体" w:hAnsi="宋体"/>
          <w:sz w:val="24"/>
        </w:rPr>
        <w:fldChar w:fldCharType="begin"/>
      </w:r>
      <w:r>
        <w:rPr>
          <w:rFonts w:ascii="宋体" w:hAnsi="宋体"/>
          <w:sz w:val="24"/>
        </w:rPr>
        <w:instrText xml:space="preserve"> PAGEREF _Toc490329527 \h </w:instrText>
      </w:r>
      <w:r>
        <w:rPr>
          <w:rFonts w:ascii="宋体" w:hAnsi="宋体"/>
          <w:sz w:val="24"/>
        </w:rPr>
        <w:fldChar w:fldCharType="separate"/>
      </w:r>
      <w:r>
        <w:rPr>
          <w:rFonts w:ascii="宋体" w:hAnsi="宋体"/>
          <w:sz w:val="24"/>
        </w:rPr>
        <w:t>4</w:t>
      </w:r>
      <w:r>
        <w:rPr>
          <w:rFonts w:ascii="宋体" w:hAnsi="宋体"/>
          <w:sz w:val="24"/>
        </w:rPr>
        <w:fldChar w:fldCharType="end"/>
      </w:r>
      <w:r>
        <w:rPr>
          <w:rFonts w:ascii="宋体" w:hAnsi="宋体"/>
          <w:sz w:val="24"/>
        </w:rPr>
        <w:fldChar w:fldCharType="end"/>
      </w:r>
    </w:p>
    <w:p>
      <w:pPr>
        <w:pStyle w:val="24"/>
        <w:spacing w:line="360" w:lineRule="auto"/>
        <w:ind w:left="0" w:leftChars="0"/>
        <w:rPr>
          <w:rFonts w:ascii="宋体" w:hAnsi="宋体"/>
          <w:sz w:val="24"/>
        </w:rPr>
      </w:pPr>
      <w:r>
        <w:fldChar w:fldCharType="begin"/>
      </w:r>
      <w:r>
        <w:instrText xml:space="preserve"> HYPERLINK \l "_Toc490329528" </w:instrText>
      </w:r>
      <w:r>
        <w:fldChar w:fldCharType="separate"/>
      </w:r>
      <w:r>
        <w:rPr>
          <w:rStyle w:val="30"/>
          <w:rFonts w:ascii="宋体" w:hAnsi="宋体"/>
          <w:sz w:val="24"/>
        </w:rPr>
        <w:t xml:space="preserve">7.4  </w:t>
      </w:r>
      <w:r>
        <w:rPr>
          <w:rStyle w:val="30"/>
          <w:rFonts w:hint="eastAsia" w:ascii="宋体" w:hAnsi="宋体"/>
          <w:sz w:val="24"/>
        </w:rPr>
        <w:t>能量响应</w:t>
      </w:r>
      <w:r>
        <w:rPr>
          <w:rFonts w:ascii="宋体" w:hAnsi="宋体"/>
          <w:sz w:val="24"/>
        </w:rPr>
        <w:tab/>
      </w:r>
      <w:r>
        <w:rPr>
          <w:rFonts w:ascii="宋体" w:hAnsi="宋体"/>
          <w:sz w:val="24"/>
        </w:rPr>
        <w:fldChar w:fldCharType="begin"/>
      </w:r>
      <w:r>
        <w:rPr>
          <w:rFonts w:ascii="宋体" w:hAnsi="宋体"/>
          <w:sz w:val="24"/>
        </w:rPr>
        <w:instrText xml:space="preserve"> PAGEREF _Toc490329528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"_Toc490329529" </w:instrText>
      </w:r>
      <w:r>
        <w:fldChar w:fldCharType="separate"/>
      </w:r>
      <w:r>
        <w:rPr>
          <w:rStyle w:val="30"/>
          <w:rFonts w:ascii="宋体" w:hAnsi="宋体"/>
          <w:sz w:val="24"/>
        </w:rPr>
        <w:t xml:space="preserve">8  </w:t>
      </w:r>
      <w:r>
        <w:rPr>
          <w:rStyle w:val="30"/>
          <w:rFonts w:hint="eastAsia" w:ascii="宋体" w:hAnsi="宋体"/>
          <w:sz w:val="24"/>
        </w:rPr>
        <w:t>校准结果的表达</w:t>
      </w:r>
      <w:r>
        <w:rPr>
          <w:rFonts w:ascii="宋体" w:hAnsi="宋体"/>
          <w:sz w:val="24"/>
        </w:rPr>
        <w:tab/>
      </w:r>
      <w:r>
        <w:rPr>
          <w:rFonts w:ascii="宋体" w:hAnsi="宋体"/>
          <w:sz w:val="24"/>
        </w:rPr>
        <w:fldChar w:fldCharType="begin"/>
      </w:r>
      <w:r>
        <w:rPr>
          <w:rFonts w:ascii="宋体" w:hAnsi="宋体"/>
          <w:sz w:val="24"/>
        </w:rPr>
        <w:instrText xml:space="preserve"> PAGEREF _Toc490329529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pPr>
        <w:pStyle w:val="15"/>
        <w:spacing w:line="360" w:lineRule="auto"/>
        <w:rPr>
          <w:rFonts w:ascii="宋体" w:hAnsi="宋体"/>
          <w:sz w:val="24"/>
        </w:rPr>
      </w:pPr>
      <w:r>
        <w:fldChar w:fldCharType="begin"/>
      </w:r>
      <w:r>
        <w:instrText xml:space="preserve"> HYPERLINK \l "_Toc490329530" </w:instrText>
      </w:r>
      <w:r>
        <w:fldChar w:fldCharType="separate"/>
      </w:r>
      <w:r>
        <w:rPr>
          <w:rStyle w:val="30"/>
          <w:rFonts w:ascii="宋体" w:hAnsi="宋体"/>
          <w:sz w:val="24"/>
        </w:rPr>
        <w:t xml:space="preserve">9  </w:t>
      </w:r>
      <w:r>
        <w:rPr>
          <w:rStyle w:val="30"/>
          <w:rFonts w:hint="eastAsia" w:ascii="宋体" w:hAnsi="宋体"/>
          <w:sz w:val="24"/>
        </w:rPr>
        <w:t>复校时间间隔</w:t>
      </w:r>
      <w:r>
        <w:rPr>
          <w:rFonts w:ascii="宋体" w:hAnsi="宋体"/>
          <w:sz w:val="24"/>
        </w:rPr>
        <w:tab/>
      </w:r>
      <w:r>
        <w:rPr>
          <w:rFonts w:ascii="宋体" w:hAnsi="宋体"/>
          <w:sz w:val="24"/>
        </w:rPr>
        <w:fldChar w:fldCharType="begin"/>
      </w:r>
      <w:r>
        <w:rPr>
          <w:rFonts w:ascii="宋体" w:hAnsi="宋体"/>
          <w:sz w:val="24"/>
        </w:rPr>
        <w:instrText xml:space="preserve"> PAGEREF _Toc490329530 \h </w:instrText>
      </w:r>
      <w:r>
        <w:rPr>
          <w:rFonts w:ascii="宋体" w:hAnsi="宋体"/>
          <w:sz w:val="24"/>
        </w:rPr>
        <w:fldChar w:fldCharType="separate"/>
      </w:r>
      <w:r>
        <w:rPr>
          <w:rFonts w:ascii="宋体" w:hAnsi="宋体"/>
          <w:sz w:val="24"/>
        </w:rPr>
        <w:t>6</w:t>
      </w:r>
      <w:r>
        <w:rPr>
          <w:rFonts w:ascii="宋体" w:hAnsi="宋体"/>
          <w:sz w:val="24"/>
        </w:rPr>
        <w:fldChar w:fldCharType="end"/>
      </w:r>
      <w:r>
        <w:rPr>
          <w:rFonts w:ascii="宋体" w:hAnsi="宋体"/>
          <w:sz w:val="24"/>
        </w:rPr>
        <w:fldChar w:fldCharType="end"/>
      </w:r>
    </w:p>
    <w:p>
      <w:pPr>
        <w:pStyle w:val="15"/>
        <w:wordWrap w:val="0"/>
        <w:spacing w:line="360" w:lineRule="auto"/>
        <w:rPr>
          <w:rFonts w:ascii="宋体" w:hAnsi="宋体"/>
          <w:sz w:val="24"/>
        </w:rPr>
      </w:pPr>
      <w:r>
        <w:fldChar w:fldCharType="begin"/>
      </w:r>
      <w:r>
        <w:instrText xml:space="preserve"> HYPERLINK \l "_Toc490329531" </w:instrText>
      </w:r>
      <w:r>
        <w:fldChar w:fldCharType="separate"/>
      </w:r>
      <w:r>
        <w:rPr>
          <w:rStyle w:val="30"/>
          <w:rFonts w:hint="eastAsia" w:ascii="宋体" w:hAnsi="宋体"/>
          <w:sz w:val="24"/>
        </w:rPr>
        <w:t>附录</w:t>
      </w:r>
      <w:r>
        <w:rPr>
          <w:rStyle w:val="30"/>
          <w:rFonts w:ascii="宋体" w:hAnsi="宋体"/>
          <w:sz w:val="24"/>
        </w:rPr>
        <w:t>A</w:t>
      </w:r>
      <w:r>
        <w:rPr>
          <w:rStyle w:val="30"/>
          <w:rFonts w:hint="eastAsia" w:ascii="宋体" w:hAnsi="宋体"/>
          <w:sz w:val="24"/>
        </w:rPr>
        <w:t xml:space="preserve">  RQR-M和RQA-M系列辐射质</w:t>
      </w:r>
      <w:r>
        <w:rPr>
          <w:rFonts w:ascii="宋体" w:hAnsi="宋体"/>
          <w:sz w:val="24"/>
        </w:rPr>
        <w:tab/>
      </w:r>
      <w:r>
        <w:rPr>
          <w:rFonts w:ascii="宋体" w:hAnsi="宋体"/>
          <w:sz w:val="24"/>
        </w:rPr>
        <w:fldChar w:fldCharType="begin"/>
      </w:r>
      <w:r>
        <w:rPr>
          <w:rFonts w:ascii="宋体" w:hAnsi="宋体"/>
          <w:sz w:val="24"/>
        </w:rPr>
        <w:instrText xml:space="preserve"> PAGEREF _Toc490329531 \h </w:instrText>
      </w:r>
      <w:r>
        <w:rPr>
          <w:rFonts w:ascii="宋体" w:hAnsi="宋体"/>
          <w:sz w:val="24"/>
        </w:rPr>
        <w:fldChar w:fldCharType="separate"/>
      </w:r>
      <w:r>
        <w:rPr>
          <w:rFonts w:ascii="宋体" w:hAnsi="宋体"/>
          <w:sz w:val="24"/>
        </w:rPr>
        <w:t>7</w:t>
      </w:r>
      <w:r>
        <w:rPr>
          <w:rFonts w:ascii="宋体" w:hAnsi="宋体"/>
          <w:sz w:val="24"/>
        </w:rPr>
        <w:fldChar w:fldCharType="end"/>
      </w:r>
      <w:r>
        <w:rPr>
          <w:rFonts w:ascii="宋体" w:hAnsi="宋体"/>
          <w:sz w:val="24"/>
        </w:rPr>
        <w:fldChar w:fldCharType="end"/>
      </w:r>
    </w:p>
    <w:p>
      <w:pPr>
        <w:pStyle w:val="15"/>
        <w:wordWrap w:val="0"/>
        <w:spacing w:line="360" w:lineRule="auto"/>
        <w:rPr>
          <w:rFonts w:ascii="宋体" w:hAnsi="宋体"/>
          <w:sz w:val="24"/>
        </w:rPr>
      </w:pPr>
      <w:r>
        <w:fldChar w:fldCharType="begin"/>
      </w:r>
      <w:r>
        <w:instrText xml:space="preserve"> HYPERLINK \l "_Toc490329532" </w:instrText>
      </w:r>
      <w:r>
        <w:fldChar w:fldCharType="separate"/>
      </w:r>
      <w:r>
        <w:rPr>
          <w:rStyle w:val="30"/>
          <w:rFonts w:hint="eastAsia" w:ascii="宋体" w:hAnsi="宋体"/>
          <w:sz w:val="24"/>
        </w:rPr>
        <w:t>附录</w:t>
      </w:r>
      <w:r>
        <w:rPr>
          <w:rStyle w:val="30"/>
          <w:rFonts w:ascii="宋体" w:hAnsi="宋体"/>
          <w:sz w:val="24"/>
        </w:rPr>
        <w:t>B</w:t>
      </w:r>
      <w:r>
        <w:rPr>
          <w:rStyle w:val="30"/>
          <w:rFonts w:hint="eastAsia" w:ascii="宋体" w:hAnsi="宋体"/>
          <w:sz w:val="24"/>
        </w:rPr>
        <w:t xml:space="preserve">  剂量计校准记录推荐格式</w:t>
      </w:r>
      <w:r>
        <w:rPr>
          <w:rFonts w:ascii="宋体" w:hAnsi="宋体"/>
          <w:sz w:val="24"/>
        </w:rPr>
        <w:tab/>
      </w:r>
      <w:r>
        <w:rPr>
          <w:rFonts w:ascii="宋体" w:hAnsi="宋体"/>
          <w:sz w:val="24"/>
        </w:rPr>
        <w:fldChar w:fldCharType="begin"/>
      </w:r>
      <w:r>
        <w:rPr>
          <w:rFonts w:ascii="宋体" w:hAnsi="宋体"/>
          <w:sz w:val="24"/>
        </w:rPr>
        <w:instrText xml:space="preserve"> PAGEREF _Toc490329532 \h </w:instrText>
      </w:r>
      <w:r>
        <w:rPr>
          <w:rFonts w:ascii="宋体" w:hAnsi="宋体"/>
          <w:sz w:val="24"/>
        </w:rPr>
        <w:fldChar w:fldCharType="separate"/>
      </w:r>
      <w:r>
        <w:rPr>
          <w:rFonts w:ascii="宋体" w:hAnsi="宋体"/>
          <w:sz w:val="24"/>
        </w:rPr>
        <w:t>8</w:t>
      </w:r>
      <w:r>
        <w:rPr>
          <w:rFonts w:ascii="宋体" w:hAnsi="宋体"/>
          <w:sz w:val="24"/>
        </w:rPr>
        <w:fldChar w:fldCharType="end"/>
      </w:r>
      <w:r>
        <w:rPr>
          <w:rFonts w:ascii="宋体" w:hAnsi="宋体"/>
          <w:sz w:val="24"/>
        </w:rPr>
        <w:fldChar w:fldCharType="end"/>
      </w:r>
    </w:p>
    <w:p>
      <w:pPr>
        <w:pStyle w:val="15"/>
        <w:wordWrap w:val="0"/>
        <w:spacing w:line="360" w:lineRule="auto"/>
        <w:rPr>
          <w:rFonts w:ascii="宋体" w:hAnsi="宋体"/>
          <w:sz w:val="24"/>
        </w:rPr>
      </w:pPr>
      <w:r>
        <w:fldChar w:fldCharType="begin"/>
      </w:r>
      <w:r>
        <w:instrText xml:space="preserve"> HYPERLINK \l "_Toc490329533" </w:instrText>
      </w:r>
      <w:r>
        <w:fldChar w:fldCharType="separate"/>
      </w:r>
      <w:r>
        <w:rPr>
          <w:rStyle w:val="30"/>
          <w:rFonts w:hint="eastAsia" w:ascii="宋体" w:hAnsi="宋体"/>
          <w:sz w:val="24"/>
        </w:rPr>
        <w:t>附录</w:t>
      </w:r>
      <w:r>
        <w:rPr>
          <w:rStyle w:val="30"/>
          <w:rFonts w:ascii="宋体" w:hAnsi="宋体"/>
          <w:sz w:val="24"/>
        </w:rPr>
        <w:t>C</w:t>
      </w:r>
      <w:r>
        <w:rPr>
          <w:rStyle w:val="30"/>
          <w:rFonts w:hint="eastAsia" w:ascii="宋体" w:hAnsi="宋体"/>
          <w:sz w:val="24"/>
        </w:rPr>
        <w:t xml:space="preserve">  剂量计校准正在内页格式</w:t>
      </w:r>
      <w:r>
        <w:rPr>
          <w:rFonts w:ascii="宋体" w:hAnsi="宋体"/>
          <w:sz w:val="24"/>
        </w:rPr>
        <w:tab/>
      </w:r>
      <w:r>
        <w:rPr>
          <w:rFonts w:ascii="宋体" w:hAnsi="宋体"/>
          <w:sz w:val="24"/>
        </w:rPr>
        <w:fldChar w:fldCharType="begin"/>
      </w:r>
      <w:r>
        <w:rPr>
          <w:rFonts w:ascii="宋体" w:hAnsi="宋体"/>
          <w:sz w:val="24"/>
        </w:rPr>
        <w:instrText xml:space="preserve"> PAGEREF _Toc490329533 \h </w:instrText>
      </w:r>
      <w:r>
        <w:rPr>
          <w:rFonts w:ascii="宋体" w:hAnsi="宋体"/>
          <w:sz w:val="24"/>
        </w:rPr>
        <w:fldChar w:fldCharType="separate"/>
      </w:r>
      <w:r>
        <w:rPr>
          <w:rFonts w:ascii="宋体" w:hAnsi="宋体"/>
          <w:sz w:val="24"/>
        </w:rPr>
        <w:t>9</w:t>
      </w:r>
      <w:r>
        <w:rPr>
          <w:rFonts w:ascii="宋体" w:hAnsi="宋体"/>
          <w:sz w:val="24"/>
        </w:rPr>
        <w:fldChar w:fldCharType="end"/>
      </w:r>
      <w:r>
        <w:rPr>
          <w:rFonts w:ascii="宋体" w:hAnsi="宋体"/>
          <w:sz w:val="24"/>
        </w:rPr>
        <w:fldChar w:fldCharType="end"/>
      </w:r>
    </w:p>
    <w:p>
      <w:pPr>
        <w:pStyle w:val="15"/>
        <w:wordWrap w:val="0"/>
        <w:spacing w:line="360" w:lineRule="auto"/>
        <w:rPr>
          <w:rFonts w:ascii="宋体" w:hAnsi="宋体"/>
          <w:sz w:val="24"/>
        </w:rPr>
      </w:pPr>
      <w:r>
        <w:fldChar w:fldCharType="begin"/>
      </w:r>
      <w:r>
        <w:instrText xml:space="preserve"> HYPERLINK \l "_Toc490329534" </w:instrText>
      </w:r>
      <w:r>
        <w:fldChar w:fldCharType="separate"/>
      </w:r>
      <w:r>
        <w:rPr>
          <w:rStyle w:val="30"/>
          <w:rFonts w:hint="eastAsia" w:ascii="宋体" w:hAnsi="宋体"/>
          <w:sz w:val="24"/>
        </w:rPr>
        <w:t>附录</w:t>
      </w:r>
      <w:r>
        <w:rPr>
          <w:rStyle w:val="30"/>
          <w:rFonts w:ascii="宋体" w:hAnsi="宋体"/>
          <w:sz w:val="24"/>
        </w:rPr>
        <w:t>D</w:t>
      </w:r>
      <w:r>
        <w:rPr>
          <w:rStyle w:val="30"/>
          <w:rFonts w:hint="eastAsia" w:ascii="宋体" w:hAnsi="宋体"/>
          <w:sz w:val="24"/>
        </w:rPr>
        <w:t xml:space="preserve">  乳腺诊断X射线剂量计校准因子不确定度评定示例</w:t>
      </w:r>
      <w:r>
        <w:rPr>
          <w:rFonts w:ascii="宋体" w:hAnsi="宋体"/>
          <w:sz w:val="24"/>
        </w:rPr>
        <w:tab/>
      </w:r>
      <w:r>
        <w:rPr>
          <w:rFonts w:ascii="宋体" w:hAnsi="宋体"/>
          <w:sz w:val="24"/>
        </w:rPr>
        <w:fldChar w:fldCharType="begin"/>
      </w:r>
      <w:r>
        <w:rPr>
          <w:rFonts w:ascii="宋体" w:hAnsi="宋体"/>
          <w:sz w:val="24"/>
        </w:rPr>
        <w:instrText xml:space="preserve"> PAGEREF _Toc490329534 \h </w:instrText>
      </w:r>
      <w:r>
        <w:rPr>
          <w:rFonts w:ascii="宋体" w:hAnsi="宋体"/>
          <w:sz w:val="24"/>
        </w:rPr>
        <w:fldChar w:fldCharType="separate"/>
      </w:r>
      <w:r>
        <w:rPr>
          <w:rFonts w:ascii="宋体" w:hAnsi="宋体"/>
          <w:sz w:val="24"/>
        </w:rPr>
        <w:t>10</w:t>
      </w:r>
      <w:r>
        <w:rPr>
          <w:rFonts w:ascii="宋体" w:hAnsi="宋体"/>
          <w:sz w:val="24"/>
        </w:rPr>
        <w:fldChar w:fldCharType="end"/>
      </w:r>
      <w:r>
        <w:rPr>
          <w:rFonts w:ascii="宋体" w:hAnsi="宋体"/>
          <w:sz w:val="24"/>
        </w:rPr>
        <w:fldChar w:fldCharType="end"/>
      </w:r>
    </w:p>
    <w:p>
      <w:pPr>
        <w:spacing w:before="156" w:beforeLines="50" w:after="156" w:afterLines="50" w:line="360" w:lineRule="auto"/>
        <w:jc w:val="center"/>
      </w:pPr>
      <w:r>
        <w:rPr>
          <w:rFonts w:ascii="宋体" w:hAnsi="宋体"/>
          <w:color w:val="FF0000"/>
          <w:sz w:val="24"/>
        </w:rPr>
        <w:fldChar w:fldCharType="end"/>
      </w:r>
      <w:r>
        <w:br w:type="page"/>
      </w:r>
      <w:bookmarkStart w:id="0" w:name="_Toc334539190"/>
      <w:bookmarkStart w:id="1" w:name="_Toc334539027"/>
      <w:bookmarkStart w:id="2" w:name="_Toc334540284"/>
      <w:bookmarkStart w:id="3" w:name="_Toc334539109"/>
      <w:bookmarkStart w:id="4" w:name="_Toc334539504"/>
    </w:p>
    <w:p>
      <w:pPr>
        <w:pStyle w:val="2"/>
        <w:spacing w:after="468" w:afterLines="150"/>
        <w:jc w:val="center"/>
        <w:rPr>
          <w:sz w:val="44"/>
          <w:szCs w:val="44"/>
        </w:rPr>
      </w:pPr>
      <w:bookmarkStart w:id="5" w:name="_Toc490329513"/>
      <w:r>
        <w:rPr>
          <w:sz w:val="44"/>
          <w:szCs w:val="44"/>
        </w:rPr>
        <w:t>引    言</w:t>
      </w:r>
      <w:bookmarkEnd w:id="5"/>
    </w:p>
    <w:p>
      <w:pPr>
        <w:spacing w:after="156" w:afterLines="50" w:line="360" w:lineRule="auto"/>
        <w:ind w:firstLine="420" w:firstLineChars="175"/>
        <w:rPr>
          <w:sz w:val="24"/>
        </w:rPr>
      </w:pPr>
      <w:r>
        <w:rPr>
          <w:sz w:val="24"/>
        </w:rPr>
        <w:t>本规范依据JJF1071-2010《国家计量校准规范编写规则》编制。</w:t>
      </w:r>
    </w:p>
    <w:p>
      <w:pPr>
        <w:spacing w:line="360" w:lineRule="auto"/>
        <w:ind w:firstLine="420"/>
        <w:rPr>
          <w:color w:val="000000"/>
          <w:sz w:val="24"/>
        </w:rPr>
      </w:pPr>
      <w:r>
        <w:rPr>
          <w:sz w:val="24"/>
        </w:rPr>
        <w:t>本规范参考了</w:t>
      </w:r>
      <w:r>
        <w:rPr>
          <w:rFonts w:hint="eastAsia"/>
          <w:color w:val="000000"/>
          <w:sz w:val="24"/>
        </w:rPr>
        <w:t xml:space="preserve">IEC 61267:2005 《医用诊断X射线设备—测定特性用辐射条件》(Medical diagnostic X-ray equipment </w:t>
      </w:r>
      <w:r>
        <w:rPr>
          <w:color w:val="000000"/>
          <w:sz w:val="24"/>
        </w:rPr>
        <w:t>–</w:t>
      </w:r>
      <w:r>
        <w:rPr>
          <w:rFonts w:hint="eastAsia"/>
          <w:color w:val="000000"/>
          <w:sz w:val="24"/>
        </w:rPr>
        <w:t xml:space="preserve"> Radiation conditions for use in the determination of characteristics)，IAEA TRS 457 《放射诊断剂量学：实施指南》 （Dosimeter in Diagnostic Radiology：An International Code of Practice），IEC 61674:2012 《医用电气设备— X射线诊断影像中使用的电离室和/或半导体探测器剂量计》(Medical electrical equipment - Dosimeters with ionization chambers and/or semiconductor detectors as used in X-ray diagnostic imaging)。</w:t>
      </w:r>
    </w:p>
    <w:p>
      <w:pPr>
        <w:spacing w:line="360" w:lineRule="auto"/>
        <w:ind w:firstLine="420" w:firstLineChars="175"/>
        <w:rPr>
          <w:sz w:val="24"/>
        </w:rPr>
      </w:pPr>
      <w:r>
        <w:rPr>
          <w:sz w:val="24"/>
        </w:rPr>
        <w:t>本规范为首次制定。</w:t>
      </w:r>
    </w:p>
    <w:p>
      <w:pPr>
        <w:spacing w:line="360" w:lineRule="auto"/>
        <w:ind w:firstLine="367" w:firstLineChars="175"/>
        <w:sectPr>
          <w:headerReference r:id="rId12" w:type="default"/>
          <w:pgSz w:w="11906" w:h="16838"/>
          <w:pgMar w:top="1134" w:right="1599" w:bottom="1134" w:left="1599" w:header="851" w:footer="992" w:gutter="0"/>
          <w:pgNumType w:fmt="upperRoman" w:start="1"/>
          <w:cols w:space="720" w:num="1"/>
          <w:docGrid w:type="lines" w:linePitch="312" w:charSpace="0"/>
        </w:sectPr>
      </w:pPr>
      <w:bookmarkStart w:id="6" w:name="_Toc11375"/>
    </w:p>
    <w:bookmarkEnd w:id="0"/>
    <w:bookmarkEnd w:id="1"/>
    <w:bookmarkEnd w:id="2"/>
    <w:bookmarkEnd w:id="3"/>
    <w:bookmarkEnd w:id="4"/>
    <w:bookmarkEnd w:id="6"/>
    <w:p>
      <w:pPr>
        <w:spacing w:before="312" w:beforeLines="100" w:line="360" w:lineRule="auto"/>
        <w:jc w:val="center"/>
        <w:rPr>
          <w:rFonts w:eastAsia="黑体"/>
          <w:sz w:val="32"/>
          <w:szCs w:val="32"/>
        </w:rPr>
      </w:pPr>
      <w:r>
        <w:rPr>
          <w:rFonts w:hint="eastAsia" w:eastAsia="黑体"/>
          <w:sz w:val="32"/>
          <w:szCs w:val="32"/>
        </w:rPr>
        <w:t>乳腺诊断X射线剂量计校准规范</w:t>
      </w:r>
    </w:p>
    <w:p>
      <w:pPr>
        <w:pStyle w:val="6"/>
        <w:spacing w:line="240" w:lineRule="auto"/>
        <w:rPr>
          <w:b w:val="0"/>
          <w:bCs w:val="0"/>
          <w:sz w:val="24"/>
          <w:szCs w:val="24"/>
        </w:rPr>
      </w:pPr>
      <w:bookmarkStart w:id="7" w:name="_Toc334539110"/>
      <w:bookmarkStart w:id="8" w:name="_Toc490329514"/>
      <w:bookmarkStart w:id="9" w:name="_Toc334539505"/>
      <w:r>
        <w:rPr>
          <w:bCs w:val="0"/>
          <w:sz w:val="24"/>
          <w:szCs w:val="24"/>
        </w:rPr>
        <w:t xml:space="preserve">1  </w:t>
      </w:r>
      <w:r>
        <w:rPr>
          <w:rFonts w:eastAsia="黑体"/>
          <w:bCs w:val="0"/>
          <w:sz w:val="24"/>
          <w:szCs w:val="24"/>
        </w:rPr>
        <w:t>范围</w:t>
      </w:r>
      <w:bookmarkEnd w:id="7"/>
      <w:bookmarkEnd w:id="8"/>
      <w:bookmarkEnd w:id="9"/>
    </w:p>
    <w:p>
      <w:pPr>
        <w:spacing w:line="440" w:lineRule="exact"/>
        <w:ind w:right="12" w:firstLine="420" w:firstLineChars="175"/>
        <w:rPr>
          <w:sz w:val="24"/>
        </w:rPr>
      </w:pPr>
      <w:r>
        <w:rPr>
          <w:sz w:val="24"/>
        </w:rPr>
        <w:t>本规范适用于</w:t>
      </w:r>
      <w:r>
        <w:rPr>
          <w:rFonts w:hint="eastAsia"/>
          <w:sz w:val="24"/>
        </w:rPr>
        <w:t>（20~40）kV 乳腺诊断X射线剂量计（下简称乳腺剂量计）的校准，被校乳腺剂量计应可根据测量射线源的靶材料/附加过滤设置相对应的测量程序。</w:t>
      </w:r>
    </w:p>
    <w:p>
      <w:pPr>
        <w:pStyle w:val="6"/>
        <w:spacing w:line="240" w:lineRule="auto"/>
        <w:rPr>
          <w:rFonts w:ascii="黑体" w:hAnsi="黑体" w:eastAsia="黑体"/>
          <w:bCs w:val="0"/>
          <w:sz w:val="24"/>
          <w:szCs w:val="24"/>
        </w:rPr>
      </w:pPr>
      <w:bookmarkStart w:id="10" w:name="_Toc334539111"/>
      <w:bookmarkStart w:id="11" w:name="_Toc334539506"/>
      <w:bookmarkStart w:id="12" w:name="_Toc490329515"/>
      <w:r>
        <w:rPr>
          <w:rFonts w:ascii="黑体" w:hAnsi="黑体" w:eastAsia="黑体"/>
          <w:bCs w:val="0"/>
          <w:sz w:val="24"/>
          <w:szCs w:val="24"/>
        </w:rPr>
        <w:t>2  引用文</w:t>
      </w:r>
      <w:bookmarkEnd w:id="10"/>
      <w:bookmarkEnd w:id="11"/>
      <w:r>
        <w:rPr>
          <w:rFonts w:ascii="黑体" w:hAnsi="黑体" w:eastAsia="黑体"/>
          <w:bCs w:val="0"/>
          <w:sz w:val="24"/>
          <w:szCs w:val="24"/>
        </w:rPr>
        <w:t>件</w:t>
      </w:r>
      <w:bookmarkEnd w:id="12"/>
    </w:p>
    <w:p>
      <w:pPr>
        <w:spacing w:line="360" w:lineRule="auto"/>
        <w:ind w:firstLine="420" w:firstLineChars="175"/>
        <w:rPr>
          <w:sz w:val="24"/>
        </w:rPr>
      </w:pPr>
      <w:r>
        <w:rPr>
          <w:sz w:val="24"/>
        </w:rPr>
        <w:t>本</w:t>
      </w:r>
      <w:r>
        <w:rPr>
          <w:rFonts w:hint="eastAsia"/>
          <w:sz w:val="24"/>
        </w:rPr>
        <w:t>规范</w:t>
      </w:r>
      <w:r>
        <w:rPr>
          <w:sz w:val="24"/>
        </w:rPr>
        <w:t>主要引用以下文件：</w:t>
      </w:r>
    </w:p>
    <w:p>
      <w:pPr>
        <w:spacing w:line="360" w:lineRule="auto"/>
        <w:ind w:firstLine="420"/>
        <w:rPr>
          <w:color w:val="000000"/>
          <w:sz w:val="24"/>
        </w:rPr>
      </w:pPr>
      <w:r>
        <w:rPr>
          <w:rFonts w:hint="eastAsia"/>
          <w:color w:val="000000"/>
          <w:sz w:val="24"/>
        </w:rPr>
        <w:t xml:space="preserve">IEC 61267:2005 医用诊断X射线设备—测定特性用辐射条件(Medical diagnostic X-ray equipment </w:t>
      </w:r>
      <w:r>
        <w:rPr>
          <w:color w:val="000000"/>
          <w:sz w:val="24"/>
        </w:rPr>
        <w:t>–</w:t>
      </w:r>
      <w:r>
        <w:rPr>
          <w:rFonts w:hint="eastAsia"/>
          <w:color w:val="000000"/>
          <w:sz w:val="24"/>
        </w:rPr>
        <w:t xml:space="preserve"> Radiation conditions for use in the determination of characteristics)</w:t>
      </w:r>
    </w:p>
    <w:p>
      <w:pPr>
        <w:spacing w:line="360" w:lineRule="auto"/>
        <w:ind w:firstLine="420"/>
        <w:rPr>
          <w:color w:val="000000"/>
          <w:sz w:val="24"/>
        </w:rPr>
      </w:pPr>
      <w:r>
        <w:rPr>
          <w:rFonts w:hint="eastAsia"/>
          <w:color w:val="000000"/>
          <w:sz w:val="24"/>
        </w:rPr>
        <w:t>IEC 61674-2012 医用电气设备— X射线诊断影像中使用的电离室和/或半导体探测器剂量计 （Medical electrical equipment-Dosimeters with ionization chambers and/or semiconductor detectors as used in X-ray diagnostic imaging）</w:t>
      </w:r>
    </w:p>
    <w:p>
      <w:pPr>
        <w:spacing w:line="360" w:lineRule="auto"/>
        <w:ind w:firstLine="420" w:firstLineChars="175"/>
        <w:rPr>
          <w:color w:val="000000"/>
          <w:sz w:val="24"/>
        </w:rPr>
      </w:pPr>
      <w:r>
        <w:rPr>
          <w:rFonts w:hint="eastAsia"/>
          <w:color w:val="000000"/>
          <w:sz w:val="24"/>
        </w:rPr>
        <w:t>IAEA TRS 457 放射诊断剂量学：实施指南 （Dosimeter in Diagnostic Radiology：An International Code of Practice）</w:t>
      </w:r>
    </w:p>
    <w:p>
      <w:pPr>
        <w:spacing w:line="360" w:lineRule="auto"/>
        <w:ind w:firstLine="420" w:firstLineChars="175"/>
        <w:rPr>
          <w:color w:val="000000"/>
          <w:sz w:val="24"/>
        </w:rPr>
      </w:pPr>
      <w:r>
        <w:rPr>
          <w:color w:val="000000"/>
          <w:sz w:val="24"/>
        </w:rPr>
        <w:t>凡是注日期的引用文件，仅注日期的版本适用于本规则；凡是不注日期的引用文件，其最新版本(包括所有的修改单)适用于本规则。</w:t>
      </w:r>
    </w:p>
    <w:p>
      <w:pPr>
        <w:pStyle w:val="6"/>
        <w:rPr>
          <w:rFonts w:ascii="黑体" w:hAnsi="黑体" w:eastAsia="黑体"/>
          <w:bCs w:val="0"/>
          <w:sz w:val="24"/>
          <w:szCs w:val="24"/>
        </w:rPr>
      </w:pPr>
      <w:bookmarkStart w:id="13" w:name="_Toc334539507"/>
      <w:bookmarkStart w:id="14" w:name="_Toc334539112"/>
      <w:bookmarkStart w:id="15" w:name="_Toc490329516"/>
      <w:r>
        <w:rPr>
          <w:rFonts w:ascii="黑体" w:hAnsi="黑体" w:eastAsia="黑体"/>
          <w:bCs w:val="0"/>
          <w:sz w:val="24"/>
          <w:szCs w:val="24"/>
        </w:rPr>
        <w:t>3  术语</w:t>
      </w:r>
      <w:bookmarkEnd w:id="13"/>
      <w:bookmarkEnd w:id="14"/>
      <w:r>
        <w:rPr>
          <w:rFonts w:hint="eastAsia" w:ascii="黑体" w:hAnsi="黑体" w:eastAsia="黑体"/>
          <w:bCs w:val="0"/>
          <w:sz w:val="24"/>
          <w:szCs w:val="24"/>
        </w:rPr>
        <w:t>及计量单位</w:t>
      </w:r>
      <w:bookmarkEnd w:id="15"/>
      <w:bookmarkStart w:id="16" w:name="_Toc334539508"/>
      <w:bookmarkStart w:id="17" w:name="_Toc334539113"/>
    </w:p>
    <w:p>
      <w:pPr>
        <w:spacing w:before="280" w:after="240" w:line="360" w:lineRule="auto"/>
        <w:outlineLvl w:val="5"/>
        <w:rPr>
          <w:rFonts w:ascii="宋体" w:hAnsi="宋体"/>
          <w:sz w:val="24"/>
        </w:rPr>
      </w:pPr>
      <w:bookmarkStart w:id="18" w:name="_Toc490329517"/>
      <w:r>
        <w:rPr>
          <w:sz w:val="24"/>
        </w:rPr>
        <w:t>3.1</w:t>
      </w:r>
      <w:r>
        <w:rPr>
          <w:rFonts w:ascii="宋体" w:hAnsi="宋体"/>
          <w:sz w:val="24"/>
        </w:rPr>
        <w:t xml:space="preserve">  </w:t>
      </w:r>
      <w:bookmarkEnd w:id="16"/>
      <w:bookmarkEnd w:id="17"/>
      <w:r>
        <w:rPr>
          <w:rFonts w:hint="eastAsia" w:ascii="宋体" w:hAnsi="宋体"/>
          <w:sz w:val="24"/>
        </w:rPr>
        <w:t>术语</w:t>
      </w:r>
      <w:bookmarkEnd w:id="18"/>
    </w:p>
    <w:p>
      <w:pPr>
        <w:spacing w:line="360" w:lineRule="auto"/>
        <w:rPr>
          <w:color w:val="000000"/>
          <w:sz w:val="24"/>
        </w:rPr>
      </w:pPr>
      <w:r>
        <w:rPr>
          <w:rFonts w:hint="eastAsia"/>
          <w:color w:val="000000"/>
          <w:sz w:val="24"/>
        </w:rPr>
        <w:t>3.1.1 乳腺诊断X射线剂量计 d</w:t>
      </w:r>
      <w:r>
        <w:rPr>
          <w:color w:val="000000"/>
          <w:sz w:val="24"/>
        </w:rPr>
        <w:t xml:space="preserve">iagnostic </w:t>
      </w:r>
      <w:r>
        <w:rPr>
          <w:rFonts w:hint="eastAsia"/>
          <w:color w:val="000000"/>
          <w:sz w:val="24"/>
        </w:rPr>
        <w:t>d</w:t>
      </w:r>
      <w:r>
        <w:rPr>
          <w:color w:val="000000"/>
          <w:sz w:val="24"/>
        </w:rPr>
        <w:t xml:space="preserve">osimeters of </w:t>
      </w:r>
      <w:r>
        <w:rPr>
          <w:rFonts w:hint="eastAsia"/>
          <w:color w:val="000000"/>
          <w:sz w:val="24"/>
        </w:rPr>
        <w:t>m</w:t>
      </w:r>
      <w:r>
        <w:rPr>
          <w:color w:val="000000"/>
          <w:sz w:val="24"/>
        </w:rPr>
        <w:t>ammography</w:t>
      </w:r>
    </w:p>
    <w:p>
      <w:pPr>
        <w:spacing w:line="360" w:lineRule="auto"/>
        <w:rPr>
          <w:color w:val="000000"/>
          <w:sz w:val="24"/>
        </w:rPr>
      </w:pPr>
      <w:r>
        <w:rPr>
          <w:rFonts w:hint="eastAsia"/>
          <w:color w:val="000000"/>
          <w:sz w:val="24"/>
        </w:rPr>
        <w:t xml:space="preserve">    用电离室或半导体探测器测量乳腺诊断X射线机射束的空气比释动能、空气比释动能率的设备。</w:t>
      </w:r>
    </w:p>
    <w:p>
      <w:pPr>
        <w:widowControl w:val="0"/>
        <w:spacing w:line="360" w:lineRule="auto"/>
        <w:jc w:val="left"/>
        <w:rPr>
          <w:rFonts w:ascii="Times New Roman" w:hAnsi="Times New Roman" w:eastAsia="宋体" w:cs="Times New Roman"/>
          <w:kern w:val="2"/>
          <w:sz w:val="24"/>
          <w:szCs w:val="24"/>
          <w:lang w:val="en-US" w:eastAsia="zh-CN" w:bidi="ar-SA"/>
        </w:rPr>
      </w:pPr>
      <w:bookmarkStart w:id="19" w:name="_Toc490329518"/>
      <w:r>
        <w:rPr>
          <w:rFonts w:ascii="Times New Roman" w:hAnsi="Times New Roman" w:eastAsia="宋体" w:cs="Times New Roman"/>
          <w:color w:val="000000"/>
          <w:kern w:val="2"/>
          <w:sz w:val="24"/>
          <w:szCs w:val="24"/>
          <w:lang w:val="en-US" w:eastAsia="zh-TW" w:bidi="en-US"/>
        </w:rPr>
        <w:t>3.1.</w:t>
      </w:r>
      <w:r>
        <w:rPr>
          <w:rFonts w:ascii="Times New Roman" w:hAnsi="Times New Roman" w:eastAsia="PMingLiU" w:cs="Times New Roman"/>
          <w:color w:val="000000"/>
          <w:kern w:val="2"/>
          <w:sz w:val="24"/>
          <w:szCs w:val="24"/>
          <w:lang w:val="zh-TW" w:eastAsia="zh-TW" w:bidi="zh-TW"/>
        </w:rPr>
        <w:t>2</w:t>
      </w:r>
      <w:r>
        <w:rPr>
          <w:rFonts w:ascii="Times New Roman" w:hAnsi="Times New Roman" w:eastAsia="宋体" w:cs="Times New Roman"/>
          <w:kern w:val="2"/>
          <w:sz w:val="24"/>
          <w:szCs w:val="24"/>
          <w:lang w:val="en-US" w:eastAsia="zh-CN" w:bidi="ar-SA"/>
        </w:rPr>
        <w:t xml:space="preserve"> 校准因子 calibration factor</w:t>
      </w:r>
    </w:p>
    <w:p>
      <w:pPr>
        <w:widowControl w:val="0"/>
        <w:spacing w:after="0" w:line="360" w:lineRule="auto"/>
        <w:ind w:firstLine="48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参考值除以指示值的商。</w:t>
      </w:r>
    </w:p>
    <w:p>
      <w:pPr>
        <w:widowControl w:val="0"/>
        <w:spacing w:line="360" w:lineRule="auto"/>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3.1.3 能量响应 energy response</w:t>
      </w:r>
    </w:p>
    <w:p>
      <w:pPr>
        <w:widowControl w:val="0"/>
        <w:spacing w:after="0" w:line="360" w:lineRule="auto"/>
        <w:ind w:firstLine="48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探测器的响应随辐射能量的变化。</w:t>
      </w:r>
    </w:p>
    <w:p>
      <w:pPr>
        <w:widowControl w:val="0"/>
        <w:spacing w:line="360" w:lineRule="auto"/>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3.1.4 非减弱束 unattenuated beam</w:t>
      </w:r>
    </w:p>
    <w:p>
      <w:pPr>
        <w:widowControl w:val="0"/>
        <w:spacing w:after="80" w:line="360" w:lineRule="auto"/>
        <w:ind w:firstLine="48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射到受检者或模体的X射线束。</w:t>
      </w:r>
    </w:p>
    <w:p>
      <w:pPr>
        <w:widowControl w:val="0"/>
        <w:spacing w:after="0" w:line="360" w:lineRule="auto"/>
        <w:ind w:firstLine="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 xml:space="preserve">3.1.5 非减弱束质 unattenuated beam quality (RQR) </w:t>
      </w:r>
    </w:p>
    <w:p>
      <w:pPr>
        <w:widowControl w:val="0"/>
        <w:spacing w:after="0" w:line="360" w:lineRule="auto"/>
        <w:ind w:firstLine="48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当受检者或模体不存在时，即在自由空气中射到受检者或模体上的X射线束辐射质。</w:t>
      </w:r>
    </w:p>
    <w:p>
      <w:pPr>
        <w:widowControl w:val="0"/>
        <w:spacing w:line="360" w:lineRule="auto"/>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3.1.6 减弱束 attenuated beam</w:t>
      </w:r>
    </w:p>
    <w:p>
      <w:pPr>
        <w:widowControl w:val="0"/>
        <w:spacing w:after="80" w:line="360" w:lineRule="auto"/>
        <w:ind w:firstLine="500"/>
        <w:jc w:val="both"/>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射经受检者或模体的X射线束。</w:t>
      </w:r>
    </w:p>
    <w:p>
      <w:pPr>
        <w:widowControl w:val="0"/>
        <w:spacing w:line="360" w:lineRule="auto"/>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3.1.7 减弱束质 attenuated beam quality （RQA）</w:t>
      </w:r>
    </w:p>
    <w:p>
      <w:pPr>
        <w:widowControl w:val="0"/>
        <w:spacing w:after="80" w:line="360" w:lineRule="auto"/>
        <w:ind w:firstLine="500"/>
        <w:jc w:val="both"/>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射经受检者或模体的X射线束辐射质。</w:t>
      </w:r>
    </w:p>
    <w:p>
      <w:pPr>
        <w:spacing w:line="360" w:lineRule="auto"/>
        <w:rPr>
          <w:sz w:val="24"/>
        </w:rPr>
      </w:pPr>
      <w:r>
        <w:rPr>
          <w:sz w:val="24"/>
        </w:rPr>
        <w:t>3.1.</w:t>
      </w:r>
      <w:r>
        <w:rPr>
          <w:rFonts w:hint="eastAsia"/>
          <w:sz w:val="24"/>
          <w:lang w:val="en-US" w:eastAsia="zh-CN"/>
        </w:rPr>
        <w:t>8</w:t>
      </w:r>
      <w:r>
        <w:rPr>
          <w:sz w:val="24"/>
        </w:rPr>
        <w:t>空气比释动能长度乘积 air kerma length product (PKL)</w:t>
      </w:r>
    </w:p>
    <w:p>
      <w:pPr>
        <w:spacing w:line="360" w:lineRule="auto"/>
        <w:ind w:firstLine="480" w:firstLineChars="200"/>
        <w:rPr>
          <w:sz w:val="24"/>
        </w:rPr>
      </w:pPr>
      <w:r>
        <w:rPr>
          <w:sz w:val="24"/>
        </w:rPr>
        <w:t>对于任意穿过CT机X射线扫描横截面的直线，空气比释动能长度是沿此直线上空气比释动能与长度元乘积的积分。</w:t>
      </w:r>
    </w:p>
    <w:p>
      <w:pPr>
        <w:spacing w:before="280" w:after="240" w:line="360" w:lineRule="auto"/>
        <w:outlineLvl w:val="5"/>
        <w:rPr>
          <w:sz w:val="24"/>
        </w:rPr>
      </w:pPr>
      <w:r>
        <w:rPr>
          <w:rFonts w:hint="eastAsia"/>
          <w:sz w:val="24"/>
        </w:rPr>
        <w:t>3.2  计量单位</w:t>
      </w:r>
      <w:bookmarkEnd w:id="19"/>
    </w:p>
    <w:p>
      <w:pPr>
        <w:widowControl w:val="0"/>
        <w:spacing w:after="0" w:line="360" w:lineRule="auto"/>
        <w:ind w:firstLine="0"/>
        <w:jc w:val="left"/>
        <w:rPr>
          <w:rFonts w:ascii="Times New Roman" w:hAnsi="Times New Roman" w:eastAsia="宋体" w:cs="Times New Roman"/>
          <w:kern w:val="2"/>
          <w:sz w:val="24"/>
          <w:szCs w:val="24"/>
          <w:lang w:val="en-US" w:eastAsia="zh-CN" w:bidi="ar-SA"/>
        </w:rPr>
      </w:pPr>
      <w:bookmarkStart w:id="20" w:name="_Toc490329519"/>
      <w:bookmarkStart w:id="21" w:name="_Toc334539115"/>
      <w:bookmarkStart w:id="22" w:name="_Toc334539510"/>
      <w:r>
        <w:rPr>
          <w:rFonts w:ascii="Times New Roman" w:hAnsi="Times New Roman" w:eastAsia="宋体" w:cs="Times New Roman"/>
          <w:kern w:val="2"/>
          <w:sz w:val="24"/>
          <w:szCs w:val="24"/>
          <w:lang w:val="en-US" w:eastAsia="zh-CN" w:bidi="ar-SA"/>
        </w:rPr>
        <w:t>3.2.1空气比释动能的单位：戈（瑞），符号为Gy。</w:t>
      </w:r>
    </w:p>
    <w:p>
      <w:pPr>
        <w:widowControl w:val="0"/>
        <w:spacing w:after="0" w:line="360" w:lineRule="auto"/>
        <w:ind w:firstLine="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3.2.2空气比释动能长度乘积的单位：戈（瑞）米，符号为Gy</w:t>
      </w:r>
      <w:r>
        <w:rPr>
          <w:rFonts w:ascii="Times New Roman" w:hAnsi="Times New Roman" w:eastAsia="MS Gothic" w:cs="Times New Roman"/>
          <w:kern w:val="2"/>
          <w:sz w:val="24"/>
          <w:szCs w:val="24"/>
          <w:lang w:val="en-US" w:eastAsia="zh-CN" w:bidi="ar-SA"/>
        </w:rPr>
        <w:t>・</w:t>
      </w:r>
      <w:r>
        <w:rPr>
          <w:rFonts w:ascii="Times New Roman" w:hAnsi="Times New Roman" w:eastAsia="宋体" w:cs="Times New Roman"/>
          <w:kern w:val="2"/>
          <w:sz w:val="24"/>
          <w:szCs w:val="24"/>
          <w:lang w:val="en-US" w:eastAsia="zh-CN" w:bidi="ar-SA"/>
        </w:rPr>
        <w:t>m。</w:t>
      </w:r>
    </w:p>
    <w:p>
      <w:pPr>
        <w:widowControl w:val="0"/>
        <w:spacing w:after="0" w:line="360" w:lineRule="auto"/>
        <w:ind w:firstLine="0"/>
        <w:jc w:val="left"/>
        <w:rPr>
          <w:rFonts w:ascii="Times New Roman" w:hAnsi="Times New Roman" w:eastAsia="宋体" w:cs="Times New Roman"/>
          <w:kern w:val="2"/>
          <w:sz w:val="24"/>
          <w:szCs w:val="24"/>
          <w:lang w:val="en-US" w:eastAsia="zh-CN" w:bidi="ar-SA"/>
        </w:rPr>
      </w:pPr>
      <w:r>
        <w:rPr>
          <w:rFonts w:ascii="Times New Roman" w:hAnsi="Times New Roman" w:eastAsia="宋体" w:cs="Times New Roman"/>
          <w:kern w:val="2"/>
          <w:sz w:val="24"/>
          <w:szCs w:val="24"/>
          <w:lang w:val="en-US" w:eastAsia="zh-CN" w:bidi="ar-SA"/>
        </w:rPr>
        <w:t>3.2.3诊断水平探测器校准因子的单位：戈（瑞）每库仑，符号为Gy/C。</w:t>
      </w:r>
    </w:p>
    <w:p>
      <w:pPr>
        <w:pStyle w:val="6"/>
        <w:spacing w:line="360" w:lineRule="auto"/>
        <w:rPr>
          <w:rFonts w:ascii="黑体" w:hAnsi="黑体" w:eastAsia="黑体"/>
          <w:bCs w:val="0"/>
          <w:sz w:val="24"/>
          <w:szCs w:val="24"/>
        </w:rPr>
      </w:pPr>
      <w:r>
        <w:rPr>
          <w:rFonts w:ascii="黑体" w:hAnsi="黑体" w:eastAsia="黑体"/>
          <w:bCs w:val="0"/>
          <w:sz w:val="24"/>
          <w:szCs w:val="24"/>
        </w:rPr>
        <w:t>4  概述</w:t>
      </w:r>
      <w:bookmarkEnd w:id="20"/>
      <w:bookmarkEnd w:id="21"/>
      <w:bookmarkEnd w:id="22"/>
    </w:p>
    <w:p>
      <w:pPr>
        <w:spacing w:line="360" w:lineRule="auto"/>
        <w:ind w:firstLine="480"/>
        <w:rPr>
          <w:sz w:val="24"/>
        </w:rPr>
      </w:pPr>
      <w:r>
        <w:rPr>
          <w:rFonts w:hint="eastAsia"/>
          <w:sz w:val="24"/>
        </w:rPr>
        <w:t>乳腺诊断X射线剂量计用于辐射计量学的量值传递以及乳腺诊断X射线辐射剂量的测量。分为标准级乳腺剂量计和工作级乳腺剂量计。</w:t>
      </w:r>
      <w:bookmarkStart w:id="60" w:name="_GoBack"/>
      <w:bookmarkEnd w:id="60"/>
      <w:r>
        <w:rPr>
          <w:rFonts w:hint="eastAsia"/>
          <w:sz w:val="24"/>
        </w:rPr>
        <w:t>它由辐射探测器和电测量单元（或静电计）两部分组成</w:t>
      </w:r>
      <w:r>
        <w:rPr>
          <w:sz w:val="24"/>
        </w:rPr>
        <w:t>。辐射</w:t>
      </w:r>
      <w:r>
        <w:rPr>
          <w:rFonts w:hint="eastAsia"/>
          <w:sz w:val="24"/>
        </w:rPr>
        <w:t>探测器可以是电离室，也可以是半导体辐射探测器。</w:t>
      </w:r>
    </w:p>
    <w:p>
      <w:pPr>
        <w:pStyle w:val="6"/>
        <w:spacing w:line="377" w:lineRule="auto"/>
        <w:rPr>
          <w:rFonts w:ascii="黑体" w:hAnsi="黑体" w:eastAsia="黑体"/>
          <w:bCs w:val="0"/>
          <w:color w:val="FF0000"/>
          <w:sz w:val="24"/>
          <w:szCs w:val="24"/>
          <w:lang w:eastAsia="zh-CN"/>
        </w:rPr>
      </w:pPr>
      <w:bookmarkStart w:id="23" w:name="_Toc490329520"/>
      <w:bookmarkStart w:id="24" w:name="_Toc334539118"/>
      <w:bookmarkStart w:id="25" w:name="_Toc334539513"/>
      <w:r>
        <w:rPr>
          <w:rFonts w:ascii="黑体" w:hAnsi="黑体" w:eastAsia="黑体"/>
          <w:bCs w:val="0"/>
          <w:sz w:val="24"/>
          <w:szCs w:val="24"/>
        </w:rPr>
        <w:t>5  计量特性</w:t>
      </w:r>
      <w:bookmarkEnd w:id="23"/>
      <w:bookmarkEnd w:id="24"/>
      <w:bookmarkEnd w:id="25"/>
    </w:p>
    <w:p>
      <w:pPr>
        <w:spacing w:line="360" w:lineRule="auto"/>
        <w:rPr>
          <w:sz w:val="24"/>
        </w:rPr>
      </w:pPr>
      <w:r>
        <w:rPr>
          <w:rFonts w:hint="eastAsia"/>
          <w:sz w:val="24"/>
        </w:rPr>
        <w:t>标准级乳腺剂量计和工作级乳腺剂量计，各校准项目及计量特性见表1。</w:t>
      </w:r>
    </w:p>
    <w:p>
      <w:pPr>
        <w:spacing w:line="360" w:lineRule="auto"/>
        <w:jc w:val="center"/>
        <w:rPr>
          <w:szCs w:val="21"/>
        </w:rPr>
      </w:pPr>
      <w:r>
        <w:rPr>
          <w:rFonts w:hint="eastAsia"/>
          <w:szCs w:val="21"/>
        </w:rPr>
        <w:t>表1 校准项目及计量特性</w:t>
      </w:r>
    </w:p>
    <w:tbl>
      <w:tblPr>
        <w:tblStyle w:val="26"/>
        <w:tblW w:w="9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855"/>
        <w:gridCol w:w="1096"/>
        <w:gridCol w:w="1276"/>
        <w:gridCol w:w="2835"/>
        <w:gridCol w:w="3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Pr>
          <w:p>
            <w:pPr>
              <w:spacing w:line="360" w:lineRule="auto"/>
              <w:jc w:val="center"/>
              <w:rPr>
                <w:szCs w:val="21"/>
              </w:rPr>
            </w:pPr>
            <w:r>
              <w:rPr>
                <w:rFonts w:hint="eastAsia"/>
                <w:szCs w:val="21"/>
              </w:rPr>
              <w:t>序号</w:t>
            </w:r>
          </w:p>
        </w:tc>
        <w:tc>
          <w:tcPr>
            <w:tcW w:w="3227" w:type="dxa"/>
            <w:gridSpan w:val="3"/>
            <w:vAlign w:val="center"/>
          </w:tcPr>
          <w:p>
            <w:pPr>
              <w:spacing w:line="360" w:lineRule="auto"/>
              <w:jc w:val="center"/>
              <w:rPr>
                <w:szCs w:val="21"/>
              </w:rPr>
            </w:pPr>
            <w:r>
              <w:rPr>
                <w:rFonts w:hint="eastAsia"/>
                <w:szCs w:val="21"/>
              </w:rPr>
              <w:t>校准项目</w:t>
            </w:r>
          </w:p>
        </w:tc>
        <w:tc>
          <w:tcPr>
            <w:tcW w:w="2835" w:type="dxa"/>
            <w:vAlign w:val="center"/>
          </w:tcPr>
          <w:p>
            <w:pPr>
              <w:spacing w:line="360" w:lineRule="auto"/>
              <w:jc w:val="center"/>
              <w:rPr>
                <w:szCs w:val="21"/>
              </w:rPr>
            </w:pPr>
            <w:r>
              <w:rPr>
                <w:rFonts w:hint="eastAsia"/>
                <w:szCs w:val="21"/>
              </w:rPr>
              <w:t>标准级乳腺剂量计</w:t>
            </w:r>
          </w:p>
        </w:tc>
        <w:tc>
          <w:tcPr>
            <w:tcW w:w="3112" w:type="dxa"/>
            <w:vAlign w:val="center"/>
          </w:tcPr>
          <w:p>
            <w:pPr>
              <w:spacing w:line="360" w:lineRule="auto"/>
              <w:jc w:val="center"/>
              <w:rPr>
                <w:szCs w:val="21"/>
              </w:rPr>
            </w:pPr>
            <w:r>
              <w:rPr>
                <w:rFonts w:hint="eastAsia"/>
                <w:szCs w:val="21"/>
              </w:rPr>
              <w:t>工作级乳腺剂量计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694" w:type="dxa"/>
            <w:vMerge w:val="restart"/>
            <w:vAlign w:val="center"/>
          </w:tcPr>
          <w:p>
            <w:pPr>
              <w:spacing w:line="360" w:lineRule="auto"/>
              <w:jc w:val="center"/>
              <w:rPr>
                <w:szCs w:val="21"/>
              </w:rPr>
            </w:pPr>
            <w:r>
              <w:rPr>
                <w:rFonts w:hint="eastAsia"/>
                <w:szCs w:val="21"/>
              </w:rPr>
              <w:t>1</w:t>
            </w:r>
          </w:p>
        </w:tc>
        <w:tc>
          <w:tcPr>
            <w:tcW w:w="855" w:type="dxa"/>
            <w:vMerge w:val="restart"/>
            <w:vAlign w:val="center"/>
          </w:tcPr>
          <w:p>
            <w:pPr>
              <w:spacing w:line="360" w:lineRule="auto"/>
              <w:jc w:val="center"/>
              <w:rPr>
                <w:szCs w:val="21"/>
              </w:rPr>
            </w:pPr>
            <w:r>
              <w:rPr>
                <w:rFonts w:hint="eastAsia"/>
                <w:szCs w:val="21"/>
              </w:rPr>
              <w:t>重复性</w:t>
            </w:r>
          </w:p>
        </w:tc>
        <w:tc>
          <w:tcPr>
            <w:tcW w:w="1096" w:type="dxa"/>
            <w:vMerge w:val="restart"/>
            <w:vAlign w:val="center"/>
          </w:tcPr>
          <w:p>
            <w:pPr>
              <w:spacing w:line="360" w:lineRule="auto"/>
              <w:jc w:val="center"/>
              <w:rPr>
                <w:szCs w:val="21"/>
              </w:rPr>
            </w:pPr>
            <w:r>
              <w:rPr>
                <w:rFonts w:hint="eastAsia"/>
                <w:szCs w:val="21"/>
              </w:rPr>
              <w:t>非减弱束</w:t>
            </w:r>
          </w:p>
        </w:tc>
        <w:tc>
          <w:tcPr>
            <w:tcW w:w="1276" w:type="dxa"/>
            <w:vAlign w:val="center"/>
          </w:tcPr>
          <w:p>
            <w:pPr>
              <w:spacing w:line="360" w:lineRule="auto"/>
              <w:jc w:val="center"/>
              <w:rPr>
                <w:rFonts w:ascii="Times New Roman" w:hAnsi="Times New Roman" w:eastAsia="宋体" w:cs="Times New Roman"/>
                <w:kern w:val="2"/>
                <w:sz w:val="21"/>
                <w:szCs w:val="21"/>
                <w:lang w:val="en-US" w:eastAsia="zh-CN" w:bidi="ar-SA"/>
              </w:rPr>
            </w:pPr>
            <w:r>
              <w:rPr>
                <w:i/>
                <w:position w:val="-10"/>
                <w:szCs w:val="21"/>
              </w:rPr>
              <w:t>K</w:t>
            </w:r>
            <w:r>
              <w:rPr>
                <w:rFonts w:hint="eastAsia"/>
                <w:position w:val="-10"/>
                <w:szCs w:val="21"/>
              </w:rPr>
              <w:t>＜10</w:t>
            </w:r>
            <w:r>
              <w:rPr>
                <w:position w:val="-10"/>
                <w:szCs w:val="21"/>
              </w:rPr>
              <w:t>00</w:t>
            </w:r>
            <w:r>
              <w:rPr>
                <w:rFonts w:hint="eastAsia"/>
                <w:position w:val="-10"/>
                <w:szCs w:val="21"/>
              </w:rPr>
              <w:t xml:space="preserve"> </w:t>
            </w:r>
            <w:r>
              <w:rPr>
                <w:position w:val="-10"/>
                <w:szCs w:val="21"/>
              </w:rPr>
              <w:t>μ</w:t>
            </w:r>
            <w:r>
              <w:rPr>
                <w:rFonts w:hint="eastAsia"/>
                <w:position w:val="-10"/>
                <w:szCs w:val="21"/>
              </w:rPr>
              <w:t>Gy</w:t>
            </w:r>
          </w:p>
        </w:tc>
        <w:tc>
          <w:tcPr>
            <w:tcW w:w="2835" w:type="dxa"/>
            <w:vAlign w:val="center"/>
          </w:tcPr>
          <w:p>
            <w:pPr>
              <w:spacing w:line="360" w:lineRule="auto"/>
              <w:jc w:val="center"/>
              <w:rPr>
                <w:rFonts w:ascii="Times New Roman" w:hAnsi="Times New Roman" w:eastAsia="宋体" w:cs="Times New Roman"/>
                <w:kern w:val="2"/>
                <w:sz w:val="21"/>
                <w:szCs w:val="21"/>
                <w:lang w:val="en-US" w:eastAsia="zh-CN" w:bidi="ar-SA"/>
              </w:rPr>
            </w:pPr>
            <w:r>
              <w:rPr>
                <w:rFonts w:hint="eastAsia"/>
                <w:sz w:val="22"/>
                <w:szCs w:val="22"/>
              </w:rPr>
              <w:t>0.1667×(16</w:t>
            </w:r>
            <w:r>
              <w:rPr>
                <w:rFonts w:hint="eastAsia" w:asciiTheme="minorEastAsia" w:hAnsiTheme="minorEastAsia" w:eastAsiaTheme="minorEastAsia"/>
                <w:sz w:val="22"/>
                <w:szCs w:val="22"/>
              </w:rPr>
              <w:t>-</w:t>
            </w:r>
            <w:r>
              <w:rPr>
                <w:rFonts w:eastAsiaTheme="minorEastAsia"/>
                <w:sz w:val="22"/>
                <w:szCs w:val="22"/>
              </w:rPr>
              <w:t>0.01×</w:t>
            </w:r>
            <w:r>
              <w:rPr>
                <w:rFonts w:hint="eastAsia"/>
                <w:i/>
                <w:sz w:val="22"/>
                <w:szCs w:val="22"/>
              </w:rPr>
              <w:t>K</w:t>
            </w:r>
            <w:r>
              <w:rPr>
                <w:rFonts w:hint="eastAsia"/>
                <w:sz w:val="22"/>
                <w:szCs w:val="22"/>
              </w:rPr>
              <w:t>)%</w:t>
            </w:r>
          </w:p>
        </w:tc>
        <w:tc>
          <w:tcPr>
            <w:tcW w:w="3112" w:type="dxa"/>
            <w:vAlign w:val="center"/>
          </w:tcPr>
          <w:p>
            <w:pPr>
              <w:spacing w:line="360" w:lineRule="auto"/>
              <w:jc w:val="center"/>
              <w:rPr>
                <w:rFonts w:ascii="Times New Roman" w:hAnsi="Times New Roman" w:eastAsia="宋体" w:cs="Times New Roman"/>
                <w:kern w:val="2"/>
                <w:sz w:val="21"/>
                <w:szCs w:val="21"/>
                <w:lang w:val="en-US" w:eastAsia="zh-CN" w:bidi="ar-SA"/>
              </w:rPr>
            </w:pPr>
            <w:r>
              <w:rPr>
                <w:rFonts w:hint="eastAsia"/>
                <w:sz w:val="22"/>
                <w:szCs w:val="22"/>
              </w:rPr>
              <w:t>0.1667×(16</w:t>
            </w:r>
            <w:r>
              <w:rPr>
                <w:rFonts w:hint="eastAsia" w:asciiTheme="minorEastAsia" w:hAnsiTheme="minorEastAsia" w:eastAsiaTheme="minorEastAsia"/>
                <w:sz w:val="22"/>
                <w:szCs w:val="22"/>
              </w:rPr>
              <w:t>-</w:t>
            </w:r>
            <w:r>
              <w:rPr>
                <w:rFonts w:eastAsiaTheme="minorEastAsia"/>
                <w:sz w:val="22"/>
                <w:szCs w:val="22"/>
              </w:rPr>
              <w:t>0.01×</w:t>
            </w:r>
            <w:r>
              <w:rPr>
                <w:rFonts w:hint="eastAsia"/>
                <w:i/>
                <w:sz w:val="22"/>
                <w:szCs w:val="22"/>
              </w:rPr>
              <w:t>K</w:t>
            </w:r>
            <w:r>
              <w:rPr>
                <w:rFonts w:hint="eastAsia"/>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94" w:type="dxa"/>
            <w:vMerge w:val="continue"/>
          </w:tcPr>
          <w:p>
            <w:pPr>
              <w:spacing w:line="360" w:lineRule="auto"/>
              <w:jc w:val="center"/>
              <w:rPr>
                <w:szCs w:val="21"/>
              </w:rPr>
            </w:pPr>
          </w:p>
        </w:tc>
        <w:tc>
          <w:tcPr>
            <w:tcW w:w="855" w:type="dxa"/>
            <w:vMerge w:val="continue"/>
            <w:vAlign w:val="center"/>
          </w:tcPr>
          <w:p>
            <w:pPr>
              <w:spacing w:line="360" w:lineRule="auto"/>
              <w:jc w:val="center"/>
              <w:rPr>
                <w:szCs w:val="21"/>
              </w:rPr>
            </w:pPr>
          </w:p>
        </w:tc>
        <w:tc>
          <w:tcPr>
            <w:tcW w:w="1096" w:type="dxa"/>
            <w:vMerge w:val="continue"/>
            <w:vAlign w:val="center"/>
          </w:tcPr>
          <w:p>
            <w:pPr>
              <w:spacing w:line="360" w:lineRule="auto"/>
              <w:jc w:val="center"/>
              <w:rPr>
                <w:szCs w:val="21"/>
              </w:rPr>
            </w:pPr>
          </w:p>
        </w:tc>
        <w:tc>
          <w:tcPr>
            <w:tcW w:w="1276" w:type="dxa"/>
            <w:vAlign w:val="center"/>
          </w:tcPr>
          <w:p>
            <w:pPr>
              <w:spacing w:line="360" w:lineRule="auto"/>
              <w:jc w:val="center"/>
              <w:rPr>
                <w:rFonts w:ascii="Times New Roman" w:hAnsi="Times New Roman" w:eastAsia="宋体" w:cs="Times New Roman"/>
                <w:kern w:val="2"/>
                <w:sz w:val="21"/>
                <w:szCs w:val="21"/>
                <w:lang w:val="en-US" w:eastAsia="zh-CN" w:bidi="ar-SA"/>
              </w:rPr>
            </w:pPr>
            <w:r>
              <w:rPr>
                <w:i/>
                <w:position w:val="-10"/>
                <w:szCs w:val="21"/>
              </w:rPr>
              <w:t>K</w:t>
            </w:r>
            <w:r>
              <w:rPr>
                <w:rFonts w:hint="eastAsia"/>
                <w:position w:val="-10"/>
                <w:szCs w:val="21"/>
              </w:rPr>
              <w:t>≥1</w:t>
            </w:r>
            <w:r>
              <w:rPr>
                <w:position w:val="-10"/>
                <w:szCs w:val="21"/>
              </w:rPr>
              <w:t>00</w:t>
            </w:r>
            <w:r>
              <w:rPr>
                <w:rFonts w:hint="eastAsia"/>
                <w:position w:val="-10"/>
                <w:szCs w:val="21"/>
              </w:rPr>
              <w:t xml:space="preserve">0 </w:t>
            </w:r>
            <w:r>
              <w:rPr>
                <w:position w:val="-10"/>
                <w:szCs w:val="21"/>
              </w:rPr>
              <w:t>μ</w:t>
            </w:r>
            <w:r>
              <w:rPr>
                <w:rFonts w:hint="eastAsia"/>
                <w:position w:val="-10"/>
                <w:szCs w:val="21"/>
              </w:rPr>
              <w:t>Gy</w:t>
            </w:r>
          </w:p>
        </w:tc>
        <w:tc>
          <w:tcPr>
            <w:tcW w:w="2835" w:type="dxa"/>
            <w:vAlign w:val="center"/>
          </w:tcPr>
          <w:p>
            <w:pPr>
              <w:spacing w:line="360" w:lineRule="auto"/>
              <w:jc w:val="center"/>
              <w:rPr>
                <w:rFonts w:ascii="Times New Roman" w:hAnsi="Times New Roman" w:eastAsia="宋体" w:cs="Times New Roman"/>
                <w:kern w:val="2"/>
                <w:sz w:val="21"/>
                <w:szCs w:val="21"/>
                <w:lang w:val="en-US" w:eastAsia="zh-CN" w:bidi="ar-SA"/>
              </w:rPr>
            </w:pPr>
            <w:r>
              <w:rPr>
                <w:rFonts w:hint="eastAsia"/>
                <w:szCs w:val="21"/>
              </w:rPr>
              <w:t>1%</w:t>
            </w:r>
          </w:p>
        </w:tc>
        <w:tc>
          <w:tcPr>
            <w:tcW w:w="3112" w:type="dxa"/>
            <w:vAlign w:val="center"/>
          </w:tcPr>
          <w:p>
            <w:pPr>
              <w:spacing w:line="360" w:lineRule="auto"/>
              <w:jc w:val="center"/>
              <w:rPr>
                <w:rFonts w:ascii="Times New Roman" w:hAnsi="Times New Roman" w:eastAsia="宋体" w:cs="Times New Roman"/>
                <w:kern w:val="2"/>
                <w:sz w:val="21"/>
                <w:szCs w:val="21"/>
                <w:lang w:val="en-US" w:eastAsia="zh-CN" w:bidi="ar-SA"/>
              </w:rPr>
            </w:pPr>
            <w:r>
              <w:rPr>
                <w:rFonts w:hint="eastAsia"/>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Pr>
          <w:p>
            <w:pPr>
              <w:spacing w:line="360" w:lineRule="auto"/>
              <w:jc w:val="center"/>
              <w:rPr>
                <w:szCs w:val="21"/>
              </w:rPr>
            </w:pPr>
            <w:r>
              <w:rPr>
                <w:rFonts w:hint="eastAsia"/>
                <w:szCs w:val="21"/>
              </w:rPr>
              <w:t>2</w:t>
            </w:r>
          </w:p>
        </w:tc>
        <w:tc>
          <w:tcPr>
            <w:tcW w:w="3227" w:type="dxa"/>
            <w:gridSpan w:val="3"/>
            <w:vAlign w:val="center"/>
          </w:tcPr>
          <w:p>
            <w:pPr>
              <w:spacing w:line="360" w:lineRule="auto"/>
              <w:jc w:val="center"/>
              <w:rPr>
                <w:szCs w:val="21"/>
              </w:rPr>
            </w:pPr>
            <w:r>
              <w:rPr>
                <w:rFonts w:hint="eastAsia"/>
                <w:szCs w:val="21"/>
              </w:rPr>
              <w:t>校准因子</w:t>
            </w:r>
          </w:p>
        </w:tc>
        <w:tc>
          <w:tcPr>
            <w:tcW w:w="2835" w:type="dxa"/>
            <w:vAlign w:val="center"/>
          </w:tcPr>
          <w:p>
            <w:pPr>
              <w:spacing w:line="360" w:lineRule="auto"/>
              <w:jc w:val="center"/>
              <w:rPr>
                <w:szCs w:val="21"/>
                <w:highlight w:val="none"/>
              </w:rPr>
            </w:pPr>
            <w:r>
              <w:rPr>
                <w:rFonts w:hint="eastAsia"/>
                <w:szCs w:val="21"/>
                <w:highlight w:val="none"/>
              </w:rPr>
              <w:t>0.800~1.200（2</w:t>
            </w:r>
            <w:r>
              <w:rPr>
                <w:rFonts w:hint="eastAsia"/>
                <w:szCs w:val="21"/>
                <w:highlight w:val="none"/>
                <w:lang w:val="en-US" w:eastAsia="zh-CN"/>
              </w:rPr>
              <w:t>0</w:t>
            </w:r>
            <w:r>
              <w:rPr>
                <w:rFonts w:hint="eastAsia"/>
                <w:szCs w:val="21"/>
                <w:highlight w:val="none"/>
              </w:rPr>
              <w:t xml:space="preserve"> kV~40 kV）</w:t>
            </w:r>
          </w:p>
        </w:tc>
        <w:tc>
          <w:tcPr>
            <w:tcW w:w="3112" w:type="dxa"/>
            <w:vAlign w:val="center"/>
          </w:tcPr>
          <w:p>
            <w:pPr>
              <w:spacing w:line="360" w:lineRule="auto"/>
              <w:jc w:val="center"/>
              <w:rPr>
                <w:szCs w:val="21"/>
                <w:highlight w:val="none"/>
              </w:rPr>
            </w:pPr>
            <w:r>
              <w:rPr>
                <w:rFonts w:hint="eastAsia"/>
                <w:szCs w:val="21"/>
                <w:highlight w:val="none"/>
              </w:rPr>
              <w:t>0.800~1.200（2</w:t>
            </w:r>
            <w:r>
              <w:rPr>
                <w:rFonts w:hint="eastAsia"/>
                <w:szCs w:val="21"/>
                <w:highlight w:val="none"/>
                <w:lang w:val="en-US" w:eastAsia="zh-CN"/>
              </w:rPr>
              <w:t>0</w:t>
            </w:r>
            <w:r>
              <w:rPr>
                <w:rFonts w:hint="eastAsia"/>
                <w:szCs w:val="21"/>
                <w:highlight w:val="none"/>
              </w:rPr>
              <w:t xml:space="preserve"> kV~40 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vAlign w:val="center"/>
          </w:tcPr>
          <w:p>
            <w:pPr>
              <w:spacing w:line="360" w:lineRule="auto"/>
              <w:jc w:val="center"/>
              <w:rPr>
                <w:szCs w:val="21"/>
              </w:rPr>
            </w:pPr>
            <w:r>
              <w:rPr>
                <w:rFonts w:hint="eastAsia"/>
                <w:szCs w:val="21"/>
              </w:rPr>
              <w:t>3</w:t>
            </w:r>
          </w:p>
        </w:tc>
        <w:tc>
          <w:tcPr>
            <w:tcW w:w="3227" w:type="dxa"/>
            <w:gridSpan w:val="3"/>
            <w:vAlign w:val="center"/>
          </w:tcPr>
          <w:p>
            <w:pPr>
              <w:spacing w:line="360" w:lineRule="auto"/>
              <w:jc w:val="center"/>
              <w:rPr>
                <w:szCs w:val="21"/>
              </w:rPr>
            </w:pPr>
            <w:r>
              <w:rPr>
                <w:rFonts w:hint="eastAsia"/>
                <w:szCs w:val="21"/>
              </w:rPr>
              <w:t>能量响应</w:t>
            </w:r>
          </w:p>
        </w:tc>
        <w:tc>
          <w:tcPr>
            <w:tcW w:w="2835" w:type="dxa"/>
            <w:vAlign w:val="center"/>
          </w:tcPr>
          <w:p>
            <w:pPr>
              <w:spacing w:line="360" w:lineRule="auto"/>
              <w:jc w:val="center"/>
              <w:rPr>
                <w:szCs w:val="21"/>
                <w:highlight w:val="none"/>
              </w:rPr>
            </w:pPr>
            <w:bookmarkStart w:id="26" w:name="OLE_LINK5"/>
            <w:r>
              <w:rPr>
                <w:rFonts w:hint="eastAsia"/>
                <w:szCs w:val="21"/>
                <w:highlight w:val="none"/>
              </w:rPr>
              <w:t>在（2</w:t>
            </w:r>
            <w:r>
              <w:rPr>
                <w:rFonts w:hint="eastAsia"/>
                <w:szCs w:val="21"/>
                <w:highlight w:val="none"/>
                <w:lang w:val="en-US" w:eastAsia="zh-CN"/>
              </w:rPr>
              <w:t>0</w:t>
            </w:r>
            <w:r>
              <w:rPr>
                <w:rFonts w:hint="eastAsia"/>
                <w:szCs w:val="21"/>
                <w:highlight w:val="none"/>
              </w:rPr>
              <w:t>~40）kV范围内，相对于28</w:t>
            </w:r>
            <w:r>
              <w:rPr>
                <w:rFonts w:hint="eastAsia"/>
                <w:szCs w:val="21"/>
                <w:highlight w:val="none"/>
                <w:lang w:val="en-US" w:eastAsia="zh-CN"/>
              </w:rPr>
              <w:t xml:space="preserve"> </w:t>
            </w:r>
            <w:r>
              <w:rPr>
                <w:rFonts w:hint="eastAsia"/>
                <w:szCs w:val="21"/>
                <w:highlight w:val="none"/>
              </w:rPr>
              <w:t>kV为±2.6%</w:t>
            </w:r>
            <w:bookmarkEnd w:id="26"/>
          </w:p>
        </w:tc>
        <w:tc>
          <w:tcPr>
            <w:tcW w:w="3112" w:type="dxa"/>
            <w:vAlign w:val="center"/>
          </w:tcPr>
          <w:p>
            <w:pPr>
              <w:spacing w:line="360" w:lineRule="auto"/>
              <w:jc w:val="center"/>
              <w:rPr>
                <w:szCs w:val="21"/>
                <w:highlight w:val="none"/>
              </w:rPr>
            </w:pPr>
            <w:r>
              <w:rPr>
                <w:rFonts w:hint="eastAsia"/>
                <w:szCs w:val="21"/>
                <w:highlight w:val="none"/>
              </w:rPr>
              <w:t>在（2</w:t>
            </w:r>
            <w:r>
              <w:rPr>
                <w:rFonts w:hint="eastAsia"/>
                <w:szCs w:val="21"/>
                <w:highlight w:val="none"/>
                <w:lang w:val="en-US" w:eastAsia="zh-CN"/>
              </w:rPr>
              <w:t>0</w:t>
            </w:r>
            <w:r>
              <w:rPr>
                <w:rFonts w:hint="eastAsia"/>
                <w:szCs w:val="21"/>
                <w:highlight w:val="none"/>
              </w:rPr>
              <w:t>~40）kV范围内，相对于28</w:t>
            </w:r>
            <w:r>
              <w:rPr>
                <w:rFonts w:hint="eastAsia"/>
                <w:szCs w:val="21"/>
                <w:highlight w:val="none"/>
                <w:lang w:val="en-US" w:eastAsia="zh-CN"/>
              </w:rPr>
              <w:t xml:space="preserve"> </w:t>
            </w:r>
            <w:r>
              <w:rPr>
                <w:rFonts w:hint="eastAsia"/>
                <w:szCs w:val="21"/>
                <w:highlight w:val="none"/>
              </w:rPr>
              <w:t>kV为±5%</w:t>
            </w:r>
          </w:p>
        </w:tc>
      </w:tr>
    </w:tbl>
    <w:p>
      <w:pPr>
        <w:spacing w:line="360" w:lineRule="auto"/>
        <w:rPr>
          <w:rFonts w:ascii="宋体" w:hAnsi="宋体"/>
        </w:rPr>
      </w:pPr>
      <w:r>
        <w:rPr>
          <w:rFonts w:hint="eastAsia" w:ascii="宋体" w:hAnsi="宋体"/>
        </w:rPr>
        <w:t>注：以上技术指标不适用于合格性判别，仅供参考。</w:t>
      </w:r>
    </w:p>
    <w:p>
      <w:pPr>
        <w:pStyle w:val="6"/>
        <w:spacing w:before="240" w:after="120" w:line="360" w:lineRule="auto"/>
        <w:rPr>
          <w:rFonts w:eastAsia="黑体"/>
          <w:b w:val="0"/>
          <w:bCs w:val="0"/>
          <w:sz w:val="24"/>
          <w:szCs w:val="24"/>
        </w:rPr>
      </w:pPr>
      <w:bookmarkStart w:id="27" w:name="_Toc490329521"/>
      <w:bookmarkStart w:id="28" w:name="_Toc334539515"/>
      <w:bookmarkStart w:id="29" w:name="_Toc334539120"/>
      <w:r>
        <w:rPr>
          <w:rFonts w:eastAsia="黑体"/>
          <w:b w:val="0"/>
          <w:bCs w:val="0"/>
          <w:sz w:val="24"/>
          <w:szCs w:val="24"/>
        </w:rPr>
        <w:t>6  校准条件</w:t>
      </w:r>
      <w:bookmarkEnd w:id="27"/>
      <w:bookmarkEnd w:id="28"/>
      <w:bookmarkEnd w:id="29"/>
    </w:p>
    <w:p>
      <w:pPr>
        <w:pStyle w:val="7"/>
        <w:spacing w:before="120" w:line="319" w:lineRule="auto"/>
        <w:rPr>
          <w:rFonts w:ascii="Times New Roman" w:hAnsi="Times New Roman" w:eastAsia="宋体"/>
          <w:b w:val="0"/>
          <w:bCs w:val="0"/>
        </w:rPr>
      </w:pPr>
      <w:bookmarkStart w:id="30" w:name="_Toc490329522"/>
      <w:bookmarkStart w:id="31" w:name="_Toc334539121"/>
      <w:bookmarkStart w:id="32" w:name="_Toc334539516"/>
      <w:r>
        <w:rPr>
          <w:rFonts w:ascii="Times New Roman" w:hAnsi="Times New Roman" w:eastAsia="宋体"/>
          <w:b w:val="0"/>
          <w:bCs w:val="0"/>
        </w:rPr>
        <w:t>6.1  环境条件</w:t>
      </w:r>
      <w:bookmarkEnd w:id="30"/>
      <w:bookmarkEnd w:id="31"/>
      <w:bookmarkEnd w:id="32"/>
    </w:p>
    <w:p>
      <w:pPr>
        <w:spacing w:line="360" w:lineRule="auto"/>
        <w:ind w:firstLine="360" w:firstLineChars="150"/>
        <w:rPr>
          <w:color w:val="000000"/>
          <w:sz w:val="24"/>
        </w:rPr>
      </w:pPr>
      <w:r>
        <w:rPr>
          <w:color w:val="000000"/>
          <w:sz w:val="24"/>
        </w:rPr>
        <w:t>a)</w:t>
      </w:r>
      <w:r>
        <w:rPr>
          <w:rFonts w:hint="eastAsia"/>
          <w:color w:val="000000"/>
          <w:sz w:val="24"/>
        </w:rPr>
        <w:t xml:space="preserve"> </w:t>
      </w:r>
      <w:r>
        <w:rPr>
          <w:color w:val="000000"/>
          <w:sz w:val="24"/>
        </w:rPr>
        <w:t>环境温度：（</w:t>
      </w:r>
      <w:r>
        <w:rPr>
          <w:rFonts w:hint="eastAsia"/>
          <w:color w:val="000000"/>
          <w:sz w:val="24"/>
        </w:rPr>
        <w:t>15</w:t>
      </w:r>
      <w:r>
        <w:rPr>
          <w:color w:val="000000"/>
          <w:sz w:val="24"/>
        </w:rPr>
        <w:t>~2</w:t>
      </w:r>
      <w:r>
        <w:rPr>
          <w:rFonts w:hint="eastAsia"/>
          <w:color w:val="000000"/>
          <w:sz w:val="24"/>
        </w:rPr>
        <w:t>5</w:t>
      </w:r>
      <w:r>
        <w:rPr>
          <w:color w:val="000000"/>
          <w:sz w:val="24"/>
        </w:rPr>
        <w:t>）</w:t>
      </w:r>
      <w:r>
        <w:rPr>
          <w:rFonts w:hint="eastAsia"/>
          <w:color w:val="000000"/>
          <w:sz w:val="24"/>
        </w:rPr>
        <w:t>℃，试验过程中，温度的变化不超过±1℃。</w:t>
      </w:r>
    </w:p>
    <w:p>
      <w:pPr>
        <w:spacing w:line="360" w:lineRule="auto"/>
        <w:ind w:firstLine="360" w:firstLineChars="150"/>
        <w:rPr>
          <w:sz w:val="24"/>
        </w:rPr>
      </w:pPr>
      <w:r>
        <w:rPr>
          <w:sz w:val="24"/>
        </w:rPr>
        <w:t>b)</w:t>
      </w:r>
      <w:r>
        <w:rPr>
          <w:rFonts w:hint="eastAsia"/>
          <w:sz w:val="24"/>
        </w:rPr>
        <w:t xml:space="preserve"> </w:t>
      </w:r>
      <w:r>
        <w:rPr>
          <w:sz w:val="24"/>
        </w:rPr>
        <w:t>相对湿度：（30~75）%</w:t>
      </w:r>
      <w:r>
        <w:rPr>
          <w:rFonts w:hint="eastAsia"/>
          <w:sz w:val="24"/>
        </w:rPr>
        <w:t>。</w:t>
      </w:r>
    </w:p>
    <w:p>
      <w:pPr>
        <w:spacing w:line="360" w:lineRule="auto"/>
        <w:ind w:firstLine="360" w:firstLineChars="150"/>
        <w:rPr>
          <w:color w:val="000000"/>
          <w:sz w:val="24"/>
        </w:rPr>
      </w:pPr>
      <w:r>
        <w:rPr>
          <w:rFonts w:hint="eastAsia"/>
          <w:color w:val="000000"/>
          <w:sz w:val="24"/>
        </w:rPr>
        <w:t>c) 气压：环境大气压</w:t>
      </w:r>
    </w:p>
    <w:p>
      <w:pPr>
        <w:spacing w:line="360" w:lineRule="auto"/>
        <w:ind w:firstLine="360" w:firstLineChars="150"/>
        <w:rPr>
          <w:sz w:val="24"/>
        </w:rPr>
      </w:pPr>
      <w:r>
        <w:rPr>
          <w:rFonts w:hint="eastAsia"/>
          <w:sz w:val="24"/>
        </w:rPr>
        <w:t>d) 无明显影响校准结果的电磁干扰。</w:t>
      </w:r>
    </w:p>
    <w:p>
      <w:pPr>
        <w:spacing w:line="360" w:lineRule="auto"/>
        <w:ind w:firstLine="360" w:firstLineChars="150"/>
        <w:rPr>
          <w:sz w:val="24"/>
        </w:rPr>
      </w:pPr>
      <w:r>
        <w:rPr>
          <w:rFonts w:hint="eastAsia"/>
          <w:sz w:val="24"/>
        </w:rPr>
        <w:t xml:space="preserve">e) 辐射本底的空气比释动能率不大于0.25 </w:t>
      </w:r>
      <w:r>
        <w:rPr>
          <w:sz w:val="24"/>
        </w:rPr>
        <w:t>μ</w:t>
      </w:r>
      <w:r>
        <w:rPr>
          <w:rFonts w:hint="eastAsia"/>
          <w:sz w:val="24"/>
        </w:rPr>
        <w:t>Gy/h。</w:t>
      </w:r>
    </w:p>
    <w:p>
      <w:pPr>
        <w:pStyle w:val="7"/>
        <w:spacing w:before="120" w:line="319" w:lineRule="auto"/>
        <w:rPr>
          <w:rFonts w:ascii="Times New Roman" w:hAnsi="Times New Roman" w:eastAsia="宋体"/>
          <w:b w:val="0"/>
          <w:bCs w:val="0"/>
          <w:color w:val="000000"/>
        </w:rPr>
      </w:pPr>
      <w:bookmarkStart w:id="33" w:name="_Toc334539122"/>
      <w:bookmarkStart w:id="34" w:name="_Toc490329523"/>
      <w:bookmarkStart w:id="35" w:name="_Toc334539517"/>
      <w:r>
        <w:rPr>
          <w:rFonts w:ascii="Times New Roman" w:hAnsi="Times New Roman" w:eastAsia="宋体"/>
          <w:b w:val="0"/>
          <w:bCs w:val="0"/>
          <w:color w:val="000000"/>
        </w:rPr>
        <w:t>6.2  测量标准及其他设备</w:t>
      </w:r>
      <w:bookmarkEnd w:id="33"/>
      <w:bookmarkEnd w:id="34"/>
      <w:bookmarkEnd w:id="35"/>
    </w:p>
    <w:p>
      <w:pPr>
        <w:spacing w:line="360" w:lineRule="auto"/>
        <w:rPr>
          <w:color w:val="000000"/>
          <w:sz w:val="24"/>
        </w:rPr>
      </w:pPr>
      <w:r>
        <w:rPr>
          <w:rFonts w:hint="eastAsia"/>
          <w:color w:val="000000"/>
          <w:sz w:val="24"/>
        </w:rPr>
        <w:t>6.2.1  测量标准为标准级乳腺诊断X射线剂量计或国家计量基准。</w:t>
      </w:r>
    </w:p>
    <w:p>
      <w:pPr>
        <w:spacing w:line="360" w:lineRule="auto"/>
        <w:rPr>
          <w:sz w:val="24"/>
        </w:rPr>
      </w:pPr>
      <w:r>
        <w:rPr>
          <w:rFonts w:hint="eastAsia"/>
          <w:sz w:val="24"/>
        </w:rPr>
        <w:t>6.2.1.1  标准级乳腺诊断X射线剂量计应为平行板型电离室剂量计。测量范围（0.01~</w:t>
      </w:r>
      <w:r>
        <w:rPr>
          <w:rFonts w:hint="eastAsia"/>
          <w:sz w:val="24"/>
          <w:lang w:val="en-US" w:eastAsia="zh-CN"/>
        </w:rPr>
        <w:t>0.5</w:t>
      </w:r>
      <w:r>
        <w:rPr>
          <w:rFonts w:hint="eastAsia"/>
          <w:sz w:val="24"/>
        </w:rPr>
        <w:t>）Gy/</w:t>
      </w:r>
      <w:r>
        <w:rPr>
          <w:rFonts w:hint="eastAsia"/>
          <w:sz w:val="24"/>
          <w:lang w:val="en-US" w:eastAsia="zh-CN"/>
        </w:rPr>
        <w:t>min</w:t>
      </w:r>
      <w:r>
        <w:rPr>
          <w:rFonts w:hint="eastAsia"/>
          <w:sz w:val="24"/>
        </w:rPr>
        <w:t>；年稳定性不超过±1.0%（参考辐射28</w:t>
      </w:r>
      <w:r>
        <w:rPr>
          <w:rFonts w:hint="eastAsia"/>
          <w:sz w:val="24"/>
          <w:lang w:val="en-US" w:eastAsia="zh-CN"/>
        </w:rPr>
        <w:t xml:space="preserve"> </w:t>
      </w:r>
      <w:r>
        <w:rPr>
          <w:rFonts w:hint="eastAsia"/>
          <w:sz w:val="24"/>
        </w:rPr>
        <w:t>kV）；在乳腺诊断X射线系列参考辐射质（20~40）kV范围内，能量响应不超过±2.6%。用于校准工作级乳腺剂量计。</w:t>
      </w:r>
    </w:p>
    <w:p>
      <w:pPr>
        <w:spacing w:line="360" w:lineRule="auto"/>
        <w:rPr>
          <w:color w:val="auto"/>
          <w:sz w:val="24"/>
        </w:rPr>
      </w:pPr>
      <w:r>
        <w:rPr>
          <w:rFonts w:hint="eastAsia"/>
          <w:color w:val="auto"/>
          <w:sz w:val="24"/>
        </w:rPr>
        <w:t>6.2.1.2 乳腺X射线</w:t>
      </w:r>
      <w:r>
        <w:rPr>
          <w:rFonts w:hint="eastAsia"/>
          <w:color w:val="auto"/>
          <w:sz w:val="24"/>
          <w:lang w:val="en-US" w:eastAsia="zh-CN"/>
        </w:rPr>
        <w:t>空气比释动能</w:t>
      </w:r>
      <w:r>
        <w:rPr>
          <w:rFonts w:hint="eastAsia"/>
          <w:color w:val="auto"/>
          <w:sz w:val="24"/>
        </w:rPr>
        <w:t>基准，探测器为自由空气电离室。测量范围（0.0</w:t>
      </w:r>
      <w:r>
        <w:rPr>
          <w:rFonts w:hint="eastAsia"/>
          <w:color w:val="auto"/>
          <w:sz w:val="24"/>
          <w:lang w:val="en-US" w:eastAsia="zh-CN"/>
        </w:rPr>
        <w:t>3</w:t>
      </w:r>
      <w:r>
        <w:rPr>
          <w:rFonts w:hint="eastAsia"/>
          <w:color w:val="auto"/>
          <w:sz w:val="24"/>
        </w:rPr>
        <w:t>~</w:t>
      </w:r>
      <w:r>
        <w:rPr>
          <w:rFonts w:hint="eastAsia"/>
          <w:color w:val="auto"/>
          <w:sz w:val="24"/>
          <w:lang w:val="en-US" w:eastAsia="zh-CN"/>
        </w:rPr>
        <w:t>0.3</w:t>
      </w:r>
      <w:r>
        <w:rPr>
          <w:rFonts w:hint="eastAsia"/>
          <w:color w:val="auto"/>
          <w:sz w:val="24"/>
        </w:rPr>
        <w:t>）Gy/</w:t>
      </w:r>
      <w:r>
        <w:rPr>
          <w:rFonts w:hint="eastAsia"/>
          <w:color w:val="auto"/>
          <w:sz w:val="24"/>
          <w:lang w:val="en-US" w:eastAsia="zh-CN"/>
        </w:rPr>
        <w:t>min</w:t>
      </w:r>
      <w:r>
        <w:rPr>
          <w:rFonts w:hint="eastAsia"/>
          <w:color w:val="auto"/>
          <w:sz w:val="24"/>
        </w:rPr>
        <w:t>，年稳定性不超过±0.5%（参考辐射28</w:t>
      </w:r>
      <w:r>
        <w:rPr>
          <w:rFonts w:hint="eastAsia"/>
          <w:color w:val="auto"/>
          <w:sz w:val="24"/>
          <w:lang w:val="en-US" w:eastAsia="zh-CN"/>
        </w:rPr>
        <w:t xml:space="preserve"> </w:t>
      </w:r>
      <w:r>
        <w:rPr>
          <w:rFonts w:hint="eastAsia"/>
          <w:color w:val="auto"/>
          <w:sz w:val="24"/>
        </w:rPr>
        <w:t>kV），在乳腺诊断X射线系列参考辐射质（20~40）kV范围内能量响应不超过±1.5%。</w:t>
      </w:r>
    </w:p>
    <w:p>
      <w:pPr>
        <w:spacing w:line="360" w:lineRule="auto"/>
        <w:rPr>
          <w:color w:val="000000"/>
          <w:sz w:val="24"/>
        </w:rPr>
      </w:pPr>
      <w:r>
        <w:rPr>
          <w:rFonts w:hint="eastAsia"/>
          <w:color w:val="000000"/>
          <w:sz w:val="24"/>
        </w:rPr>
        <w:t>6.2.1.2  剂量计超量程显示：在所有空气比释动能率量程上，当超过空气比释动能率的额定范围时，剂量计应该清楚地指示超量程。</w:t>
      </w:r>
    </w:p>
    <w:p>
      <w:pPr>
        <w:spacing w:line="360" w:lineRule="auto"/>
        <w:rPr>
          <w:sz w:val="24"/>
        </w:rPr>
      </w:pPr>
      <w:r>
        <w:rPr>
          <w:rFonts w:hint="eastAsia"/>
          <w:sz w:val="24"/>
        </w:rPr>
        <w:t>6.2.2  参考辐射场</w:t>
      </w:r>
    </w:p>
    <w:p>
      <w:pPr>
        <w:spacing w:line="360" w:lineRule="auto"/>
        <w:rPr>
          <w:color w:val="000000"/>
          <w:sz w:val="24"/>
        </w:rPr>
      </w:pPr>
      <w:r>
        <w:rPr>
          <w:rFonts w:hint="eastAsia"/>
          <w:color w:val="000000"/>
          <w:sz w:val="24"/>
        </w:rPr>
        <w:t>6.2.2.1  X射线辐射源的管电压范围至少包括（20~40）kV，管电压误差不超过5.0%。</w:t>
      </w:r>
    </w:p>
    <w:p>
      <w:pPr>
        <w:spacing w:line="360" w:lineRule="auto"/>
        <w:rPr>
          <w:color w:val="000000"/>
          <w:sz w:val="24"/>
        </w:rPr>
      </w:pPr>
      <w:r>
        <w:rPr>
          <w:rFonts w:hint="eastAsia"/>
          <w:color w:val="000000"/>
          <w:sz w:val="24"/>
        </w:rPr>
        <w:t>6.2.2.2  辐射质见附A。</w:t>
      </w:r>
    </w:p>
    <w:p>
      <w:pPr>
        <w:spacing w:line="360" w:lineRule="auto"/>
        <w:rPr>
          <w:color w:val="000000"/>
          <w:sz w:val="24"/>
        </w:rPr>
      </w:pPr>
      <w:r>
        <w:rPr>
          <w:rFonts w:hint="eastAsia"/>
          <w:color w:val="000000"/>
          <w:sz w:val="24"/>
        </w:rPr>
        <w:t>6.2.2.3  辐射场为准直束辐射场。在校准平面，辐射野应不小于剂量计灵敏体积2倍，且距辐射野中心5mm范围内空气比释动能率相对中心的变化不超过±2%。</w:t>
      </w:r>
    </w:p>
    <w:p>
      <w:pPr>
        <w:spacing w:line="360" w:lineRule="auto"/>
        <w:rPr>
          <w:color w:val="000000"/>
          <w:sz w:val="24"/>
        </w:rPr>
      </w:pPr>
      <w:r>
        <w:rPr>
          <w:rFonts w:hint="eastAsia"/>
          <w:color w:val="000000"/>
          <w:sz w:val="24"/>
        </w:rPr>
        <w:t>6.2.3其他设备</w:t>
      </w:r>
    </w:p>
    <w:p>
      <w:pPr>
        <w:spacing w:line="360" w:lineRule="auto"/>
        <w:rPr>
          <w:color w:val="000000"/>
          <w:sz w:val="24"/>
        </w:rPr>
      </w:pPr>
      <w:r>
        <w:rPr>
          <w:rFonts w:hint="eastAsia"/>
          <w:color w:val="000000"/>
          <w:sz w:val="24"/>
        </w:rPr>
        <w:t>6.2.3.1  温度计：测量范围（0~50）℃，最小分度值不大于0.2 ℃。</w:t>
      </w:r>
    </w:p>
    <w:p>
      <w:pPr>
        <w:spacing w:line="360" w:lineRule="auto"/>
        <w:rPr>
          <w:color w:val="000000"/>
          <w:sz w:val="24"/>
        </w:rPr>
      </w:pPr>
      <w:r>
        <w:rPr>
          <w:rFonts w:hint="eastAsia"/>
          <w:color w:val="000000"/>
          <w:sz w:val="24"/>
        </w:rPr>
        <w:t>6.2.3.2  气压计：测量范围（80~106）kPa，最小分度值不大于0.1 kPa。</w:t>
      </w:r>
    </w:p>
    <w:p>
      <w:pPr>
        <w:spacing w:line="360" w:lineRule="auto"/>
        <w:rPr>
          <w:color w:val="000000"/>
          <w:sz w:val="24"/>
        </w:rPr>
      </w:pPr>
      <w:r>
        <w:rPr>
          <w:rFonts w:hint="eastAsia"/>
          <w:color w:val="000000"/>
          <w:sz w:val="24"/>
        </w:rPr>
        <w:t>6.2.3.3  计时器：测量范围（0~3600）s，最小分度值不大于0.01 s。</w:t>
      </w:r>
    </w:p>
    <w:p>
      <w:pPr>
        <w:spacing w:line="360" w:lineRule="auto"/>
        <w:rPr>
          <w:color w:val="000000"/>
          <w:sz w:val="24"/>
        </w:rPr>
      </w:pPr>
      <w:r>
        <w:rPr>
          <w:rFonts w:hint="eastAsia"/>
          <w:color w:val="000000"/>
          <w:sz w:val="24"/>
        </w:rPr>
        <w:t>6.2.3.4  定位系统：校准用定位夹具应采用低原子序数绝缘材料制造，并应能便于将探测器精确定位于辐射场中的测量点上。可以用激光、机械装置确定电离室相对射线束的位置，定位误差不超过±1 mm。</w:t>
      </w:r>
    </w:p>
    <w:p>
      <w:pPr>
        <w:pStyle w:val="6"/>
        <w:spacing w:before="240" w:after="250" w:line="360" w:lineRule="auto"/>
        <w:rPr>
          <w:rFonts w:ascii="黑体" w:hAnsi="黑体" w:eastAsia="黑体"/>
          <w:bCs w:val="0"/>
          <w:sz w:val="24"/>
          <w:szCs w:val="24"/>
        </w:rPr>
      </w:pPr>
      <w:bookmarkStart w:id="36" w:name="_Toc334539520"/>
      <w:bookmarkStart w:id="37" w:name="_Toc334539125"/>
      <w:bookmarkStart w:id="38" w:name="_Toc490329524"/>
      <w:r>
        <w:rPr>
          <w:rFonts w:ascii="黑体" w:hAnsi="黑体" w:eastAsia="黑体"/>
          <w:bCs w:val="0"/>
          <w:sz w:val="24"/>
          <w:szCs w:val="24"/>
        </w:rPr>
        <w:t xml:space="preserve">7 </w:t>
      </w:r>
      <w:r>
        <w:rPr>
          <w:rFonts w:hint="eastAsia" w:ascii="黑体" w:hAnsi="黑体" w:eastAsia="黑体"/>
          <w:bCs w:val="0"/>
          <w:sz w:val="24"/>
          <w:szCs w:val="24"/>
        </w:rPr>
        <w:t xml:space="preserve"> </w:t>
      </w:r>
      <w:r>
        <w:rPr>
          <w:rFonts w:ascii="黑体" w:hAnsi="黑体" w:eastAsia="黑体"/>
          <w:bCs w:val="0"/>
          <w:sz w:val="24"/>
          <w:szCs w:val="24"/>
        </w:rPr>
        <w:t>校准项目和校准方法</w:t>
      </w:r>
      <w:bookmarkEnd w:id="36"/>
      <w:bookmarkEnd w:id="37"/>
      <w:bookmarkEnd w:id="38"/>
    </w:p>
    <w:p>
      <w:pPr>
        <w:pStyle w:val="7"/>
        <w:rPr>
          <w:rFonts w:ascii="Times New Roman" w:hAnsi="Times New Roman" w:eastAsia="宋体"/>
          <w:b w:val="0"/>
          <w:bCs w:val="0"/>
        </w:rPr>
      </w:pPr>
      <w:bookmarkStart w:id="39" w:name="_Toc382269688"/>
      <w:bookmarkStart w:id="40" w:name="_Toc490329525"/>
      <w:r>
        <w:rPr>
          <w:rFonts w:hint="eastAsia" w:ascii="Times New Roman" w:hAnsi="Times New Roman" w:eastAsia="宋体"/>
          <w:b w:val="0"/>
          <w:bCs w:val="0"/>
        </w:rPr>
        <w:t xml:space="preserve">7.1 </w:t>
      </w:r>
      <w:bookmarkEnd w:id="39"/>
      <w:r>
        <w:rPr>
          <w:rFonts w:hint="eastAsia" w:ascii="Times New Roman" w:hAnsi="Times New Roman" w:eastAsia="宋体"/>
          <w:b w:val="0"/>
          <w:bCs w:val="0"/>
        </w:rPr>
        <w:t xml:space="preserve"> 校准项目</w:t>
      </w:r>
      <w:bookmarkEnd w:id="40"/>
    </w:p>
    <w:p>
      <w:pPr>
        <w:spacing w:line="360" w:lineRule="auto"/>
        <w:ind w:firstLine="420"/>
        <w:rPr>
          <w:sz w:val="24"/>
        </w:rPr>
      </w:pPr>
      <w:r>
        <w:rPr>
          <w:rFonts w:hint="eastAsia"/>
          <w:sz w:val="24"/>
        </w:rPr>
        <w:t>剂量计的校准项目包括重复性、校准因子</w:t>
      </w:r>
      <w:r>
        <w:rPr>
          <w:rFonts w:hint="eastAsia"/>
          <w:sz w:val="24"/>
          <w:lang w:eastAsia="zh-CN"/>
        </w:rPr>
        <w:t>和</w:t>
      </w:r>
      <w:r>
        <w:rPr>
          <w:rFonts w:hint="eastAsia"/>
          <w:sz w:val="24"/>
        </w:rPr>
        <w:t>能量响应。</w:t>
      </w:r>
    </w:p>
    <w:p>
      <w:pPr>
        <w:pStyle w:val="7"/>
        <w:rPr>
          <w:rFonts w:ascii="Times New Roman" w:hAnsi="Times New Roman" w:eastAsia="宋体"/>
          <w:b w:val="0"/>
          <w:bCs w:val="0"/>
        </w:rPr>
      </w:pPr>
      <w:r>
        <w:rPr>
          <w:rFonts w:hint="eastAsia" w:ascii="Times New Roman" w:hAnsi="Times New Roman" w:eastAsia="宋体"/>
          <w:b w:val="0"/>
          <w:bCs w:val="0"/>
        </w:rPr>
        <w:t>7.</w:t>
      </w:r>
      <w:r>
        <w:rPr>
          <w:rFonts w:ascii="Times New Roman" w:hAnsi="Times New Roman" w:eastAsia="宋体"/>
          <w:b w:val="0"/>
          <w:bCs w:val="0"/>
        </w:rPr>
        <w:t>2</w:t>
      </w:r>
      <w:r>
        <w:rPr>
          <w:rFonts w:hint="eastAsia" w:ascii="Times New Roman" w:hAnsi="Times New Roman" w:eastAsia="宋体"/>
          <w:b w:val="0"/>
          <w:bCs w:val="0"/>
        </w:rPr>
        <w:t xml:space="preserve">  校准方法</w:t>
      </w:r>
    </w:p>
    <w:p>
      <w:pPr>
        <w:pStyle w:val="7"/>
        <w:spacing w:line="319" w:lineRule="auto"/>
        <w:rPr>
          <w:rFonts w:ascii="Times New Roman" w:hAnsi="Times New Roman" w:eastAsia="宋体"/>
          <w:b w:val="0"/>
          <w:bCs w:val="0"/>
        </w:rPr>
      </w:pPr>
      <w:r>
        <w:rPr>
          <w:rFonts w:ascii="Times New Roman" w:hAnsi="Times New Roman" w:eastAsia="宋体"/>
          <w:b w:val="0"/>
          <w:bCs w:val="0"/>
        </w:rPr>
        <w:t>7.2.1</w:t>
      </w:r>
      <w:r>
        <w:rPr>
          <w:rFonts w:hint="eastAsia" w:ascii="Times New Roman" w:hAnsi="Times New Roman" w:eastAsia="宋体"/>
          <w:b w:val="0"/>
          <w:bCs w:val="0"/>
        </w:rPr>
        <w:t xml:space="preserve"> 校准条件布置</w:t>
      </w:r>
    </w:p>
    <w:p>
      <w:pPr>
        <w:spacing w:line="360" w:lineRule="auto"/>
        <w:rPr>
          <w:rFonts w:ascii="宋体" w:hAnsi="宋体"/>
          <w:szCs w:val="21"/>
        </w:rPr>
      </w:pPr>
      <w:r>
        <w:rPr>
          <w:rFonts w:hint="eastAsia"/>
          <w:sz w:val="24"/>
        </w:rPr>
        <w:t xml:space="preserve">    校准条件</w:t>
      </w:r>
      <w:r>
        <w:rPr>
          <w:sz w:val="24"/>
        </w:rPr>
        <w:t>布置</w:t>
      </w:r>
      <w:r>
        <w:rPr>
          <w:rFonts w:hint="eastAsia"/>
          <w:sz w:val="24"/>
        </w:rPr>
        <w:t>示意图见图1。将被校剂量计或测量标准的探测器置于校准平面，探测器灵敏中心位于射线束轴线上，探测器入射面对准X射线束入射方向，射束轴线垂直探测器入射平面。选择合适的校准距离和辐射野，在校准平面探测器灵敏中心与辐射野中心重合。</w:t>
      </w:r>
      <w:r>
        <w:rPr>
          <w:rFonts w:hint="eastAsia"/>
          <w:color w:val="000000"/>
          <w:sz w:val="24"/>
        </w:rPr>
        <w:t>在测量之前，被校剂量计或测量标准应通电预热，预热时间至少15min，且使探测器与辐射场环境温度达到热平衡。调整零点，检查测量标准和被校剂量计是否可以正常测量。</w:t>
      </w:r>
    </w:p>
    <w:p>
      <w:pPr>
        <w:spacing w:line="360" w:lineRule="auto"/>
        <w:ind w:firstLine="420"/>
        <w:rPr>
          <w:sz w:val="24"/>
        </w:rPr>
      </w:pPr>
    </w:p>
    <w:p>
      <w:pPr>
        <w:ind w:firstLine="420"/>
        <w:jc w:val="center"/>
        <w:rPr>
          <w:sz w:val="24"/>
        </w:rPr>
      </w:pPr>
      <w:r>
        <w:object>
          <v:shape id="_x0000_i1025" o:spt="75" type="#_x0000_t75" style="height:227.9pt;width:319.3pt;" o:ole="t" filled="f" o:preferrelative="t" stroked="f" coordsize="21600,21600">
            <v:path/>
            <v:fill on="f" focussize="0,0"/>
            <v:stroke on="f" joinstyle="miter"/>
            <v:imagedata r:id="rId17" o:title=""/>
            <o:lock v:ext="edit" aspectratio="t"/>
            <w10:wrap type="none"/>
            <w10:anchorlock/>
          </v:shape>
          <o:OLEObject Type="Embed" ProgID="Visio.Drawing.11" ShapeID="_x0000_i1025" DrawAspect="Content" ObjectID="_1468075725" r:id="rId16">
            <o:LockedField>false</o:LockedField>
          </o:OLEObject>
        </w:object>
      </w:r>
    </w:p>
    <w:p>
      <w:pPr>
        <w:ind w:firstLine="926" w:firstLineChars="441"/>
        <w:jc w:val="center"/>
        <w:rPr>
          <w:rFonts w:ascii="宋体" w:hAnsi="宋体"/>
          <w:szCs w:val="21"/>
        </w:rPr>
      </w:pPr>
      <w:r>
        <w:rPr>
          <w:rFonts w:hint="eastAsia" w:ascii="宋体" w:hAnsi="宋体"/>
          <w:szCs w:val="21"/>
        </w:rPr>
        <w:t>图1 校准示意图</w:t>
      </w:r>
    </w:p>
    <w:p>
      <w:pPr>
        <w:pStyle w:val="7"/>
        <w:spacing w:line="319" w:lineRule="auto"/>
        <w:rPr>
          <w:rFonts w:ascii="Times New Roman" w:hAnsi="Times New Roman" w:eastAsia="宋体"/>
          <w:b w:val="0"/>
          <w:bCs w:val="0"/>
        </w:rPr>
      </w:pPr>
      <w:r>
        <w:rPr>
          <w:rFonts w:ascii="Times New Roman" w:hAnsi="Times New Roman" w:eastAsia="宋体"/>
          <w:b w:val="0"/>
          <w:bCs w:val="0"/>
        </w:rPr>
        <w:t>7.2.2</w:t>
      </w:r>
      <w:r>
        <w:rPr>
          <w:rFonts w:hint="eastAsia" w:ascii="Times New Roman" w:hAnsi="Times New Roman" w:eastAsia="宋体"/>
          <w:b w:val="0"/>
          <w:bCs w:val="0"/>
        </w:rPr>
        <w:t xml:space="preserve"> 通电预热</w:t>
      </w:r>
    </w:p>
    <w:p>
      <w:pPr>
        <w:spacing w:line="360" w:lineRule="auto"/>
        <w:rPr>
          <w:rFonts w:ascii="宋体" w:hAnsi="宋体"/>
          <w:szCs w:val="21"/>
        </w:rPr>
      </w:pPr>
      <w:r>
        <w:rPr>
          <w:color w:val="000000"/>
          <w:sz w:val="24"/>
        </w:rPr>
        <w:t xml:space="preserve">    </w:t>
      </w:r>
      <w:r>
        <w:rPr>
          <w:rFonts w:hint="eastAsia"/>
          <w:color w:val="000000"/>
          <w:sz w:val="24"/>
        </w:rPr>
        <w:t>在测量之前，被校剂量计或测量标准应通电预热，预热时间至少15min，且使探测器与辐射场环境温度达到热平衡。</w:t>
      </w:r>
      <w:r>
        <w:rPr>
          <w:rFonts w:hint="eastAsia"/>
          <w:color w:val="auto"/>
          <w:sz w:val="24"/>
        </w:rPr>
        <w:t>将被校剂量计或测量标准的</w:t>
      </w:r>
      <w:r>
        <w:rPr>
          <w:color w:val="auto"/>
          <w:sz w:val="24"/>
        </w:rPr>
        <w:t>参数</w:t>
      </w:r>
      <w:r>
        <w:rPr>
          <w:rFonts w:hint="eastAsia"/>
          <w:color w:val="auto"/>
          <w:sz w:val="24"/>
        </w:rPr>
        <w:t>设置</w:t>
      </w:r>
      <w:r>
        <w:rPr>
          <w:color w:val="auto"/>
          <w:sz w:val="24"/>
        </w:rPr>
        <w:t>为与校准所用</w:t>
      </w:r>
      <w:r>
        <w:rPr>
          <w:rFonts w:hint="eastAsia"/>
          <w:color w:val="auto"/>
          <w:sz w:val="24"/>
        </w:rPr>
        <w:t>质</w:t>
      </w:r>
      <w:r>
        <w:rPr>
          <w:color w:val="auto"/>
          <w:sz w:val="24"/>
        </w:rPr>
        <w:t>条件一致</w:t>
      </w:r>
      <w:r>
        <w:rPr>
          <w:rFonts w:hint="eastAsia"/>
          <w:color w:val="auto"/>
          <w:sz w:val="24"/>
        </w:rPr>
        <w:t>。</w:t>
      </w:r>
      <w:r>
        <w:rPr>
          <w:rFonts w:hint="eastAsia"/>
          <w:color w:val="000000"/>
          <w:sz w:val="24"/>
        </w:rPr>
        <w:t>调整零点，检查测量标准和被校剂量计是否可以正常测量。</w:t>
      </w:r>
    </w:p>
    <w:p>
      <w:pPr>
        <w:pStyle w:val="7"/>
        <w:spacing w:line="319" w:lineRule="auto"/>
        <w:rPr>
          <w:rFonts w:ascii="Times New Roman" w:hAnsi="Times New Roman" w:eastAsia="宋体"/>
          <w:b w:val="0"/>
          <w:bCs w:val="0"/>
        </w:rPr>
      </w:pPr>
      <w:bookmarkStart w:id="41" w:name="_Toc490329526"/>
      <w:bookmarkStart w:id="42" w:name="_Toc382269689"/>
      <w:r>
        <w:rPr>
          <w:rFonts w:ascii="Times New Roman" w:hAnsi="Times New Roman" w:eastAsia="宋体"/>
          <w:b w:val="0"/>
          <w:bCs w:val="0"/>
        </w:rPr>
        <w:t>7.2.3 测量重复性</w:t>
      </w:r>
      <w:bookmarkEnd w:id="41"/>
      <w:bookmarkEnd w:id="42"/>
    </w:p>
    <w:p>
      <w:pPr>
        <w:spacing w:before="156" w:beforeLines="50" w:line="360" w:lineRule="auto"/>
        <w:ind w:firstLine="480" w:firstLineChars="200"/>
        <w:rPr>
          <w:color w:val="FF0000"/>
          <w:sz w:val="24"/>
        </w:rPr>
      </w:pPr>
      <w:r>
        <w:rPr>
          <w:rFonts w:hint="eastAsia"/>
          <w:sz w:val="24"/>
        </w:rPr>
        <w:t>被校剂量计按7.2.1布置和7.2.2</w:t>
      </w:r>
      <w:r>
        <w:rPr>
          <w:sz w:val="24"/>
        </w:rPr>
        <w:t>通电预热</w:t>
      </w:r>
      <w:r>
        <w:rPr>
          <w:rFonts w:hint="eastAsia"/>
          <w:sz w:val="24"/>
        </w:rPr>
        <w:t>。取28 kV的参考辐射质，被校剂量计读数应不小于其分辨力的400倍，重复测量10次，按式（</w:t>
      </w:r>
      <w:r>
        <w:rPr>
          <w:sz w:val="24"/>
        </w:rPr>
        <w:t>1</w:t>
      </w:r>
      <w:r>
        <w:rPr>
          <w:rFonts w:hint="eastAsia"/>
          <w:sz w:val="24"/>
        </w:rPr>
        <w:t>）</w:t>
      </w:r>
      <w:r>
        <w:rPr>
          <w:rFonts w:hint="eastAsia"/>
          <w:color w:val="000000"/>
          <w:sz w:val="24"/>
        </w:rPr>
        <w:t>计算单次测量重复性</w:t>
      </w:r>
      <w:r>
        <w:rPr>
          <w:rFonts w:hint="eastAsia"/>
          <w:i/>
          <w:color w:val="000000"/>
          <w:sz w:val="24"/>
        </w:rPr>
        <w:t>V</w:t>
      </w:r>
      <w:r>
        <w:rPr>
          <w:rFonts w:hint="eastAsia"/>
          <w:color w:val="000000"/>
          <w:sz w:val="24"/>
        </w:rPr>
        <w:t>。</w:t>
      </w:r>
    </w:p>
    <w:p>
      <w:pPr>
        <w:wordWrap w:val="0"/>
        <w:spacing w:line="360" w:lineRule="auto"/>
        <w:ind w:firstLine="480" w:firstLineChars="200"/>
        <w:jc w:val="right"/>
        <w:rPr>
          <w:sz w:val="24"/>
        </w:rPr>
      </w:pPr>
      <w:r>
        <w:rPr>
          <w:rFonts w:hint="eastAsia"/>
          <w:sz w:val="24"/>
        </w:rPr>
        <w:t xml:space="preserve">    </w:t>
      </w:r>
      <w:r>
        <w:rPr>
          <w:position w:val="-26"/>
          <w:sz w:val="24"/>
        </w:rPr>
        <w:object>
          <v:shape id="_x0000_i1026" o:spt="75" type="#_x0000_t75" style="height:52.6pt;width:159.45pt;" o:ole="t" filled="f" o:preferrelative="t" stroked="f" coordsize="21600,21600">
            <v:path/>
            <v:fill on="f" focussize="0,0"/>
            <v:stroke on="f"/>
            <v:imagedata r:id="rId19" o:title=""/>
            <o:lock v:ext="edit" aspectratio="t"/>
            <w10:wrap type="none"/>
            <w10:anchorlock/>
          </v:shape>
          <o:OLEObject Type="Embed" ProgID="Equation.3" ShapeID="_x0000_i1026" DrawAspect="Content" ObjectID="_1468075726" r:id="rId18">
            <o:LockedField>false</o:LockedField>
          </o:OLEObject>
        </w:object>
      </w:r>
      <w:r>
        <w:rPr>
          <w:rFonts w:hint="eastAsia"/>
          <w:sz w:val="24"/>
        </w:rPr>
        <w:t xml:space="preserve">                      (</w:t>
      </w:r>
      <w:r>
        <w:rPr>
          <w:sz w:val="24"/>
        </w:rPr>
        <w:t>1</w:t>
      </w:r>
      <w:r>
        <w:rPr>
          <w:rFonts w:hint="eastAsia"/>
          <w:sz w:val="24"/>
        </w:rPr>
        <w:t>)</w:t>
      </w:r>
    </w:p>
    <w:p>
      <w:pPr>
        <w:spacing w:line="360" w:lineRule="auto"/>
        <w:ind w:firstLine="480" w:firstLineChars="200"/>
        <w:jc w:val="left"/>
        <w:rPr>
          <w:sz w:val="24"/>
        </w:rPr>
      </w:pPr>
      <w:r>
        <w:rPr>
          <w:rFonts w:hint="eastAsia"/>
          <w:sz w:val="24"/>
        </w:rPr>
        <w:t>式中：</w:t>
      </w:r>
    </w:p>
    <w:p>
      <w:pPr>
        <w:spacing w:line="360" w:lineRule="auto"/>
        <w:ind w:firstLine="480" w:firstLineChars="200"/>
        <w:jc w:val="left"/>
        <w:rPr>
          <w:sz w:val="24"/>
        </w:rPr>
      </w:pPr>
      <w:r>
        <w:rPr>
          <w:position w:val="-12"/>
          <w:sz w:val="24"/>
        </w:rPr>
        <w:object>
          <v:shape id="_x0000_i1027" o:spt="75" type="#_x0000_t75" style="height:18.8pt;width:18.8pt;" o:ole="t" filled="f" o:preferrelative="t" stroked="f" coordsize="21600,21600">
            <v:path/>
            <v:fill on="f" focussize="0,0"/>
            <v:stroke on="f" joinstyle="miter"/>
            <v:imagedata r:id="rId21" o:title=""/>
            <o:lock v:ext="edit" aspectratio="t"/>
            <w10:wrap type="none"/>
            <w10:anchorlock/>
          </v:shape>
          <o:OLEObject Type="Embed" ProgID="Equation.3" ShapeID="_x0000_i1027" DrawAspect="Content" ObjectID="_1468075727" r:id="rId20">
            <o:LockedField>false</o:LockedField>
          </o:OLEObject>
        </w:object>
      </w:r>
      <w:r>
        <w:rPr>
          <w:sz w:val="24"/>
        </w:rPr>
        <w:t>——</w:t>
      </w:r>
      <w:r>
        <w:rPr>
          <w:rFonts w:hint="eastAsia"/>
          <w:sz w:val="24"/>
        </w:rPr>
        <w:t>被校剂量计在</w:t>
      </w:r>
      <w:r>
        <w:rPr>
          <w:sz w:val="24"/>
        </w:rPr>
        <w:t>第</w:t>
      </w:r>
      <w:r>
        <w:rPr>
          <w:i/>
          <w:sz w:val="24"/>
        </w:rPr>
        <w:t>i</w:t>
      </w:r>
      <w:r>
        <w:rPr>
          <w:rFonts w:hint="eastAsia"/>
          <w:sz w:val="24"/>
        </w:rPr>
        <w:t>次</w:t>
      </w:r>
      <w:r>
        <w:rPr>
          <w:sz w:val="24"/>
        </w:rPr>
        <w:t>测量时</w:t>
      </w:r>
      <w:r>
        <w:rPr>
          <w:rFonts w:hint="eastAsia"/>
          <w:sz w:val="24"/>
        </w:rPr>
        <w:t>的读数，div，</w:t>
      </w:r>
      <w:r>
        <w:rPr>
          <w:sz w:val="24"/>
        </w:rPr>
        <w:t>i=1</w:t>
      </w:r>
      <w:r>
        <w:rPr>
          <w:rFonts w:hint="eastAsia"/>
          <w:sz w:val="24"/>
        </w:rPr>
        <w:t>，2，3</w:t>
      </w:r>
      <w:r>
        <w:rPr>
          <w:sz w:val="24"/>
        </w:rPr>
        <w:t>…</w:t>
      </w:r>
      <w:r>
        <w:rPr>
          <w:rFonts w:hint="eastAsia"/>
          <w:sz w:val="24"/>
        </w:rPr>
        <w:t>，</w:t>
      </w:r>
      <w:r>
        <w:rPr>
          <w:i/>
          <w:sz w:val="24"/>
        </w:rPr>
        <w:t>n</w:t>
      </w:r>
      <w:r>
        <w:rPr>
          <w:rFonts w:hint="eastAsia"/>
          <w:sz w:val="24"/>
        </w:rPr>
        <w:t>；</w:t>
      </w:r>
    </w:p>
    <w:p>
      <w:pPr>
        <w:spacing w:line="360" w:lineRule="auto"/>
        <w:ind w:firstLine="480" w:firstLineChars="200"/>
        <w:jc w:val="left"/>
        <w:rPr>
          <w:sz w:val="24"/>
        </w:rPr>
      </w:pPr>
      <m:oMath>
        <m:bar>
          <w:bookmarkStart w:id="43" w:name="_Toc382269690"/>
          <m:barPr>
            <m:pos m:val="top"/>
            <m:ctrlPr>
              <w:rPr>
                <w:rFonts w:ascii="Cambria Math" w:hAnsi="Cambria Math"/>
                <w:sz w:val="24"/>
              </w:rPr>
            </m:ctrlPr>
          </m:barPr>
          <m:e>
            <m:r>
              <m:rPr/>
              <w:rPr>
                <w:rFonts w:ascii="Cambria Math" w:hAnsi="Cambria Math"/>
                <w:sz w:val="24"/>
              </w:rPr>
              <m:t>M</m:t>
            </m:r>
            <m:ctrlPr>
              <w:rPr>
                <w:rFonts w:ascii="Cambria Math" w:hAnsi="Cambria Math"/>
                <w:sz w:val="24"/>
              </w:rPr>
            </m:ctrlPr>
          </m:e>
        </m:bar>
      </m:oMath>
      <w:r>
        <w:rPr>
          <w:rFonts w:hint="eastAsia"/>
          <w:sz w:val="24"/>
        </w:rPr>
        <w:t xml:space="preserve"> </w:t>
      </w:r>
      <w:r>
        <w:rPr>
          <w:sz w:val="24"/>
        </w:rPr>
        <w:t>——</w:t>
      </w:r>
      <w:r>
        <w:rPr>
          <w:rFonts w:hint="eastAsia"/>
          <w:sz w:val="24"/>
        </w:rPr>
        <w:t xml:space="preserve"> 被校剂量计多次读数的平均值，div；</w:t>
      </w:r>
    </w:p>
    <w:p>
      <w:pPr>
        <w:spacing w:line="360" w:lineRule="auto"/>
        <w:ind w:firstLine="480" w:firstLineChars="200"/>
        <w:jc w:val="left"/>
        <w:rPr>
          <w:sz w:val="24"/>
        </w:rPr>
      </w:pPr>
      <w:r>
        <w:rPr>
          <w:position w:val="-6"/>
          <w:sz w:val="24"/>
        </w:rPr>
        <w:object>
          <v:shape id="_x0000_i1028" o:spt="75" type="#_x0000_t75" style="height:11.25pt;width:10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r>
        <w:rPr>
          <w:sz w:val="24"/>
        </w:rPr>
        <w:t>——</w:t>
      </w:r>
      <w:r>
        <w:rPr>
          <w:rFonts w:hint="eastAsia"/>
          <w:sz w:val="24"/>
        </w:rPr>
        <w:t>测量次数。</w:t>
      </w:r>
    </w:p>
    <w:bookmarkEnd w:id="43"/>
    <w:p>
      <w:pPr>
        <w:pStyle w:val="7"/>
        <w:spacing w:line="319" w:lineRule="auto"/>
        <w:rPr>
          <w:rFonts w:ascii="Times New Roman" w:hAnsi="Times New Roman" w:eastAsia="宋体"/>
          <w:b w:val="0"/>
          <w:bCs w:val="0"/>
        </w:rPr>
      </w:pPr>
      <w:bookmarkStart w:id="44" w:name="_Toc490329527"/>
      <w:r>
        <w:rPr>
          <w:rFonts w:ascii="Times New Roman" w:hAnsi="Times New Roman" w:eastAsia="宋体"/>
          <w:b w:val="0"/>
          <w:bCs w:val="0"/>
        </w:rPr>
        <w:t xml:space="preserve">7.2.4  </w:t>
      </w:r>
      <w:r>
        <w:rPr>
          <w:rFonts w:hint="eastAsia" w:ascii="Times New Roman" w:hAnsi="Times New Roman" w:eastAsia="宋体"/>
          <w:b w:val="0"/>
          <w:bCs w:val="0"/>
        </w:rPr>
        <w:t>校准因子</w:t>
      </w:r>
      <w:bookmarkEnd w:id="44"/>
      <w:bookmarkStart w:id="45" w:name="_Toc489347970"/>
    </w:p>
    <w:p>
      <w:pPr>
        <w:spacing w:line="360" w:lineRule="auto"/>
        <w:rPr>
          <w:sz w:val="24"/>
        </w:rPr>
      </w:pPr>
      <w:r>
        <w:rPr>
          <w:rFonts w:hint="eastAsia"/>
          <w:sz w:val="24"/>
        </w:rPr>
        <w:t xml:space="preserve">    采用替代法校准。</w:t>
      </w:r>
    </w:p>
    <w:bookmarkEnd w:id="45"/>
    <w:p>
      <w:pPr>
        <w:spacing w:line="360" w:lineRule="auto"/>
        <w:rPr>
          <w:sz w:val="24"/>
        </w:rPr>
      </w:pPr>
      <w:r>
        <w:rPr>
          <w:rFonts w:hint="eastAsia"/>
          <w:sz w:val="24"/>
        </w:rPr>
        <w:t>7.</w:t>
      </w:r>
      <w:r>
        <w:rPr>
          <w:sz w:val="24"/>
        </w:rPr>
        <w:t>2</w:t>
      </w:r>
      <w:r>
        <w:rPr>
          <w:rFonts w:hint="eastAsia"/>
          <w:sz w:val="24"/>
        </w:rPr>
        <w:t>.</w:t>
      </w:r>
      <w:r>
        <w:rPr>
          <w:sz w:val="24"/>
        </w:rPr>
        <w:t>4.1</w:t>
      </w:r>
      <w:r>
        <w:rPr>
          <w:rFonts w:hint="eastAsia"/>
          <w:sz w:val="24"/>
        </w:rPr>
        <w:t xml:space="preserve">  在附录A中选择一个系列辐射质，分别进行相对应辐射质的校准。</w:t>
      </w:r>
    </w:p>
    <w:p>
      <w:pPr>
        <w:spacing w:line="360" w:lineRule="auto"/>
        <w:rPr>
          <w:sz w:val="24"/>
        </w:rPr>
      </w:pPr>
      <w:r>
        <w:rPr>
          <w:rFonts w:hint="eastAsia"/>
          <w:sz w:val="24"/>
        </w:rPr>
        <w:t>7.</w:t>
      </w:r>
      <w:r>
        <w:rPr>
          <w:sz w:val="24"/>
        </w:rPr>
        <w:t>2</w:t>
      </w:r>
      <w:r>
        <w:rPr>
          <w:rFonts w:hint="eastAsia"/>
          <w:sz w:val="24"/>
        </w:rPr>
        <w:t>.</w:t>
      </w:r>
      <w:r>
        <w:rPr>
          <w:sz w:val="24"/>
        </w:rPr>
        <w:t>4.2</w:t>
      </w:r>
      <w:r>
        <w:rPr>
          <w:rFonts w:hint="eastAsia"/>
          <w:sz w:val="24"/>
        </w:rPr>
        <w:t xml:space="preserve">  用测量标准测量测试平面中心点的空气比释动能。</w:t>
      </w:r>
    </w:p>
    <w:p>
      <w:pPr>
        <w:spacing w:line="360" w:lineRule="auto"/>
        <w:rPr>
          <w:sz w:val="24"/>
        </w:rPr>
      </w:pPr>
      <w:r>
        <w:rPr>
          <w:rFonts w:hint="eastAsia"/>
          <w:sz w:val="24"/>
        </w:rPr>
        <w:t>7.</w:t>
      </w:r>
      <w:r>
        <w:rPr>
          <w:sz w:val="24"/>
        </w:rPr>
        <w:t>2</w:t>
      </w:r>
      <w:r>
        <w:rPr>
          <w:rFonts w:hint="eastAsia"/>
          <w:sz w:val="24"/>
        </w:rPr>
        <w:t>.</w:t>
      </w:r>
      <w:r>
        <w:rPr>
          <w:sz w:val="24"/>
        </w:rPr>
        <w:t>4.3</w:t>
      </w:r>
      <w:r>
        <w:rPr>
          <w:rFonts w:hint="eastAsia"/>
          <w:sz w:val="24"/>
        </w:rPr>
        <w:t xml:space="preserve">  被校乳腺剂量计应选择与X射线源/过滤相对应的测量程序或刻度系数。</w:t>
      </w:r>
    </w:p>
    <w:p>
      <w:pPr>
        <w:spacing w:line="360" w:lineRule="auto"/>
        <w:rPr>
          <w:sz w:val="24"/>
        </w:rPr>
      </w:pPr>
      <w:r>
        <w:rPr>
          <w:rFonts w:hint="eastAsia"/>
          <w:sz w:val="24"/>
        </w:rPr>
        <w:t>7.</w:t>
      </w:r>
      <w:r>
        <w:rPr>
          <w:sz w:val="24"/>
        </w:rPr>
        <w:t>2</w:t>
      </w:r>
      <w:r>
        <w:rPr>
          <w:rFonts w:hint="eastAsia"/>
          <w:sz w:val="24"/>
        </w:rPr>
        <w:t>.</w:t>
      </w:r>
      <w:r>
        <w:rPr>
          <w:sz w:val="24"/>
        </w:rPr>
        <w:t>4.4</w:t>
      </w:r>
      <w:r>
        <w:rPr>
          <w:rFonts w:hint="eastAsia"/>
          <w:sz w:val="24"/>
        </w:rPr>
        <w:t xml:space="preserve">  至少测量五次，被校乳腺剂量计和测量标准测量的读数应不小于其分辨力的400倍，由公式（</w:t>
      </w:r>
      <w:r>
        <w:rPr>
          <w:sz w:val="24"/>
        </w:rPr>
        <w:t>2</w:t>
      </w:r>
      <w:r>
        <w:rPr>
          <w:rFonts w:hint="eastAsia"/>
          <w:sz w:val="24"/>
        </w:rPr>
        <w:t>）计算被校剂量计的校准因子；</w:t>
      </w:r>
    </w:p>
    <w:p>
      <w:pPr>
        <w:spacing w:line="360" w:lineRule="auto"/>
        <w:ind w:firstLine="4080" w:firstLineChars="1700"/>
        <w:jc w:val="left"/>
        <w:rPr>
          <w:sz w:val="24"/>
        </w:rPr>
      </w:pPr>
      <w:r>
        <w:rPr>
          <w:position w:val="-24"/>
          <w:sz w:val="24"/>
        </w:rPr>
        <w:object>
          <v:shape id="_x0000_i1029" o:spt="75" type="#_x0000_t75" style="height:30.7pt;width:53.2pt;" o:ole="t" filled="f" o:preferrelative="t" stroked="f" coordsize="21600,21600">
            <v:path/>
            <v:fill on="f" focussize="0,0"/>
            <v:stroke on="f" joinstyle="miter"/>
            <v:imagedata r:id="rId25" o:title=""/>
            <o:lock v:ext="edit" aspectratio="t"/>
            <w10:wrap type="none"/>
            <w10:anchorlock/>
          </v:shape>
          <o:OLEObject Type="Embed" ProgID="Equation.3" ShapeID="_x0000_i1029" DrawAspect="Content" ObjectID="_1468075729" r:id="rId24">
            <o:LockedField>false</o:LockedField>
          </o:OLEObject>
        </w:object>
      </w:r>
      <w:r>
        <w:rPr>
          <w:rFonts w:hint="eastAsia"/>
          <w:sz w:val="24"/>
        </w:rPr>
        <w:t xml:space="preserve">                             (</w:t>
      </w:r>
      <w:r>
        <w:rPr>
          <w:sz w:val="24"/>
        </w:rPr>
        <w:t>2</w:t>
      </w:r>
      <w:r>
        <w:rPr>
          <w:rFonts w:hint="eastAsia"/>
          <w:sz w:val="24"/>
        </w:rPr>
        <w:t>)</w:t>
      </w:r>
    </w:p>
    <w:p>
      <w:pPr>
        <w:spacing w:line="360" w:lineRule="auto"/>
        <w:jc w:val="left"/>
        <w:rPr>
          <w:sz w:val="24"/>
        </w:rPr>
      </w:pPr>
      <w:r>
        <w:rPr>
          <w:rFonts w:hint="eastAsia"/>
          <w:sz w:val="24"/>
        </w:rPr>
        <w:tab/>
      </w:r>
      <w:r>
        <w:rPr>
          <w:rFonts w:hint="eastAsia"/>
          <w:sz w:val="24"/>
        </w:rPr>
        <w:t>式中：</w:t>
      </w:r>
    </w:p>
    <w:p>
      <w:pPr>
        <w:spacing w:line="360" w:lineRule="auto"/>
        <w:jc w:val="left"/>
        <w:rPr>
          <w:sz w:val="24"/>
        </w:rPr>
      </w:pPr>
      <w:r>
        <w:rPr>
          <w:rFonts w:hint="eastAsia"/>
          <w:sz w:val="24"/>
        </w:rPr>
        <w:tab/>
      </w:r>
      <w:r>
        <w:rPr>
          <w:position w:val="-4"/>
          <w:sz w:val="24"/>
        </w:rPr>
        <w:object>
          <v:shape id="_x0000_i1030" o:spt="75" type="#_x0000_t75" style="height:13.15pt;width:15.65pt;" o:ole="t" filled="f" o:preferrelative="t" stroked="f" coordsize="21600,21600">
            <v:path/>
            <v:fill on="f" focussize="0,0"/>
            <v:stroke on="f" joinstyle="miter"/>
            <v:imagedata r:id="rId27" o:title=""/>
            <o:lock v:ext="edit" aspectratio="t"/>
            <w10:wrap type="none"/>
            <w10:anchorlock/>
          </v:shape>
          <o:OLEObject Type="Embed" ProgID="Equation.3" ShapeID="_x0000_i1030" DrawAspect="Content" ObjectID="_1468075730" r:id="rId26">
            <o:LockedField>false</o:LockedField>
          </o:OLEObject>
        </w:object>
      </w:r>
      <w:r>
        <w:rPr>
          <w:sz w:val="24"/>
        </w:rPr>
        <w:t>——</w:t>
      </w:r>
      <w:r>
        <w:rPr>
          <w:rFonts w:hint="eastAsia"/>
          <w:sz w:val="24"/>
        </w:rPr>
        <w:t>经空气密度修正后的被校剂量计读数的平均值（</w:t>
      </w:r>
      <w:r>
        <w:rPr>
          <w:sz w:val="24"/>
        </w:rPr>
        <w:t>见式（3）</w:t>
      </w:r>
      <w:r>
        <w:rPr>
          <w:rFonts w:hint="eastAsia"/>
          <w:sz w:val="24"/>
        </w:rPr>
        <w:t>），div；</w:t>
      </w:r>
    </w:p>
    <w:p>
      <w:pPr>
        <w:spacing w:line="360" w:lineRule="auto"/>
        <w:jc w:val="left"/>
        <w:rPr>
          <w:sz w:val="24"/>
        </w:rPr>
      </w:pPr>
      <w:r>
        <w:rPr>
          <w:rFonts w:hint="eastAsia"/>
          <w:sz w:val="24"/>
        </w:rPr>
        <w:tab/>
      </w:r>
      <w:r>
        <w:rPr>
          <w:position w:val="-4"/>
          <w:sz w:val="24"/>
        </w:rPr>
        <w:object>
          <v:shape id="_x0000_i1031" o:spt="75" type="#_x0000_t75" style="height:13.15pt;width:15.65pt;" o:ole="t" filled="f" o:preferrelative="t" stroked="f" coordsize="21600,21600">
            <v:path/>
            <v:fill on="f" focussize="0,0"/>
            <v:stroke on="f" joinstyle="miter"/>
            <v:imagedata r:id="rId29" o:title=""/>
            <o:lock v:ext="edit" aspectratio="f"/>
            <w10:wrap type="none"/>
            <w10:anchorlock/>
          </v:shape>
          <o:OLEObject Type="Embed" ProgID="Equation.3" ShapeID="_x0000_i1031" DrawAspect="Content" ObjectID="_1468075731" r:id="rId28">
            <o:LockedField>false</o:LockedField>
          </o:OLEObject>
        </w:object>
      </w:r>
      <w:r>
        <w:rPr>
          <w:sz w:val="24"/>
        </w:rPr>
        <w:t>——</w:t>
      </w:r>
      <w:r>
        <w:rPr>
          <w:rFonts w:hint="eastAsia"/>
          <w:sz w:val="24"/>
        </w:rPr>
        <w:t>校准点的空气比释动能标准值（</w:t>
      </w:r>
      <w:r>
        <w:rPr>
          <w:sz w:val="24"/>
        </w:rPr>
        <w:t>见式（4</w:t>
      </w:r>
      <w:r>
        <w:rPr>
          <w:rFonts w:hint="eastAsia"/>
          <w:sz w:val="24"/>
        </w:rPr>
        <w:t>）），Gy；</w:t>
      </w:r>
    </w:p>
    <w:p>
      <w:pPr>
        <w:spacing w:line="360" w:lineRule="auto"/>
        <w:jc w:val="left"/>
        <w:rPr>
          <w:sz w:val="24"/>
        </w:rPr>
      </w:pPr>
      <w:r>
        <w:rPr>
          <w:rFonts w:hint="eastAsia"/>
          <w:sz w:val="24"/>
        </w:rPr>
        <w:tab/>
      </w:r>
      <w:r>
        <w:rPr>
          <w:position w:val="-14"/>
          <w:sz w:val="24"/>
        </w:rPr>
        <w:object>
          <v:shape id="_x0000_i1032" o:spt="75" type="#_x0000_t75" style="height:18.8pt;width:28.15pt;" o:ole="t" filled="f" o:preferrelative="t" stroked="f" coordsize="21600,21600">
            <v:path/>
            <v:fill on="f" focussize="0,0"/>
            <v:stroke on="f" joinstyle="miter"/>
            <v:imagedata r:id="rId31" o:title=""/>
            <o:lock v:ext="edit" aspectratio="f"/>
            <w10:wrap type="none"/>
            <w10:anchorlock/>
          </v:shape>
          <o:OLEObject Type="Embed" ProgID="Equation.3" ShapeID="_x0000_i1032" DrawAspect="Content" ObjectID="_1468075732" r:id="rId30">
            <o:LockedField>false</o:LockedField>
          </o:OLEObject>
        </w:object>
      </w:r>
      <w:r>
        <w:rPr>
          <w:rFonts w:hint="eastAsia"/>
          <w:sz w:val="24"/>
        </w:rPr>
        <w:t xml:space="preserve"> </w:t>
      </w:r>
      <w:r>
        <w:rPr>
          <w:sz w:val="24"/>
        </w:rPr>
        <w:t>——</w:t>
      </w:r>
      <w:r>
        <w:rPr>
          <w:rFonts w:hint="eastAsia"/>
          <w:sz w:val="24"/>
        </w:rPr>
        <w:t>辐射质Q的校准因子，Gy/div。</w:t>
      </w:r>
    </w:p>
    <w:p>
      <w:pPr>
        <w:wordWrap w:val="0"/>
        <w:spacing w:line="360" w:lineRule="auto"/>
        <w:jc w:val="right"/>
        <w:rPr>
          <w:sz w:val="24"/>
        </w:rPr>
      </w:pPr>
      <m:oMath>
        <m:r>
          <m:rPr/>
          <w:rPr>
            <w:rFonts w:ascii="Cambria Math" w:hAnsi="Cambria Math"/>
            <w:sz w:val="24"/>
          </w:rPr>
          <m:t>M</m:t>
        </m:r>
        <m:r>
          <m:rPr>
            <m:sty m:val="p"/>
          </m:rPr>
          <w:rPr>
            <w:rFonts w:hint="eastAsia" w:ascii="Cambria Math" w:hAnsi="Cambria Math"/>
            <w:sz w:val="24"/>
          </w:rPr>
          <m:t>=</m:t>
        </m:r>
        <m:bar>
          <m:barPr>
            <m:pos m:val="top"/>
            <m:ctrlPr>
              <w:rPr>
                <w:rFonts w:ascii="Cambria Math" w:hAnsi="Cambria Math"/>
                <w:sz w:val="24"/>
              </w:rPr>
            </m:ctrlPr>
          </m:barPr>
          <m:e>
            <m:r>
              <m:rPr/>
              <w:rPr>
                <w:rFonts w:ascii="Cambria Math" w:hAnsi="Cambria Math"/>
                <w:sz w:val="24"/>
              </w:rPr>
              <m:t>M</m:t>
            </m:r>
            <m:ctrlPr>
              <w:rPr>
                <w:rFonts w:ascii="Cambria Math" w:hAnsi="Cambria Math"/>
                <w:sz w:val="24"/>
              </w:rPr>
            </m:ctrlPr>
          </m:e>
        </m:bar>
        <m:r>
          <m:rPr/>
          <w:rPr>
            <w:rFonts w:ascii="Cambria Math" w:hAnsi="Cambria Math"/>
            <w:sz w:val="24"/>
          </w:rPr>
          <m:t>∙</m:t>
        </m:r>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 xml:space="preserve">                            (</w:t>
      </w:r>
      <w:r>
        <w:rPr>
          <w:sz w:val="24"/>
        </w:rPr>
        <w:t>3</w:t>
      </w:r>
      <w:r>
        <w:rPr>
          <w:rFonts w:hint="eastAsia"/>
          <w:sz w:val="24"/>
        </w:rPr>
        <w:t>)</w:t>
      </w:r>
    </w:p>
    <w:p>
      <w:pPr>
        <w:spacing w:line="360" w:lineRule="auto"/>
        <w:ind w:left="424" w:leftChars="202"/>
        <w:jc w:val="left"/>
        <w:rPr>
          <w:sz w:val="24"/>
        </w:rPr>
      </w:pPr>
      <w:r>
        <w:rPr>
          <w:rFonts w:hint="eastAsia"/>
          <w:sz w:val="24"/>
        </w:rPr>
        <w:t>式中：</w:t>
      </w:r>
    </w:p>
    <w:p>
      <w:pPr>
        <w:spacing w:line="360" w:lineRule="auto"/>
        <w:jc w:val="left"/>
        <w:rPr>
          <w:sz w:val="24"/>
        </w:rPr>
      </w:pPr>
      <w:r>
        <w:rPr>
          <w:sz w:val="24"/>
        </w:rPr>
        <w:t xml:space="preserve">    </w:t>
      </w:r>
      <m:oMath>
        <m:bar>
          <m:barPr>
            <m:pos m:val="top"/>
            <m:ctrlPr>
              <w:rPr>
                <w:rFonts w:ascii="Cambria Math" w:hAnsi="Cambria Math"/>
                <w:sz w:val="24"/>
              </w:rPr>
            </m:ctrlPr>
          </m:barPr>
          <m:e>
            <m:r>
              <m:rPr/>
              <w:rPr>
                <w:rFonts w:ascii="Cambria Math" w:hAnsi="Cambria Math"/>
                <w:sz w:val="24"/>
              </w:rPr>
              <m:t>M</m:t>
            </m:r>
            <m:ctrlPr>
              <w:rPr>
                <w:rFonts w:ascii="Cambria Math" w:hAnsi="Cambria Math"/>
                <w:sz w:val="24"/>
              </w:rPr>
            </m:ctrlPr>
          </m:e>
        </m:bar>
      </m:oMath>
      <w:r>
        <w:rPr>
          <w:rFonts w:hint="eastAsia"/>
          <w:sz w:val="24"/>
        </w:rPr>
        <w:t xml:space="preserve"> </w:t>
      </w:r>
      <w:r>
        <w:rPr>
          <w:sz w:val="24"/>
        </w:rPr>
        <w:t>——</w:t>
      </w:r>
      <w:r>
        <w:rPr>
          <w:rFonts w:hint="eastAsia"/>
          <w:sz w:val="24"/>
        </w:rPr>
        <w:t xml:space="preserve"> 被校剂量计多次读数的平均值，div；</w:t>
      </w:r>
      <w:r>
        <w:rPr>
          <w:sz w:val="24"/>
        </w:rPr>
        <w:t xml:space="preserve"> </w:t>
      </w:r>
    </w:p>
    <w:p>
      <w:pPr>
        <w:spacing w:line="360" w:lineRule="auto"/>
        <w:ind w:firstLine="480" w:firstLineChars="200"/>
        <w:jc w:val="left"/>
        <w:rPr>
          <w:sz w:val="24"/>
        </w:rPr>
      </w:pPr>
      <m:oMath>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 xml:space="preserve"> </w:t>
      </w:r>
      <w:r>
        <w:rPr>
          <w:sz w:val="24"/>
        </w:rPr>
        <w:t>——</w:t>
      </w:r>
      <w:r>
        <w:rPr>
          <w:rFonts w:hint="eastAsia"/>
          <w:sz w:val="24"/>
        </w:rPr>
        <w:t xml:space="preserve"> 被校剂量计测量时的空气密度修正因子，无量纲，（</w:t>
      </w:r>
      <w:r>
        <w:rPr>
          <w:sz w:val="24"/>
        </w:rPr>
        <w:t>见式（5</w:t>
      </w:r>
      <w:r>
        <w:rPr>
          <w:rFonts w:hint="eastAsia"/>
          <w:sz w:val="24"/>
        </w:rPr>
        <w:t>））。</w:t>
      </w:r>
    </w:p>
    <w:p>
      <w:pPr>
        <w:spacing w:line="360" w:lineRule="auto"/>
        <w:jc w:val="left"/>
        <w:rPr>
          <w:sz w:val="24"/>
        </w:rPr>
      </w:pPr>
      <w:r>
        <w:rPr>
          <w:rFonts w:hint="eastAsia"/>
          <w:sz w:val="24"/>
        </w:rPr>
        <w:tab/>
      </w:r>
      <w:r>
        <w:rPr>
          <w:rFonts w:hint="eastAsia"/>
          <w:sz w:val="24"/>
        </w:rPr>
        <w:t>对于非密封电离室，空气密度修正因子</w:t>
      </w:r>
      <m:oMath>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由式（4）计算得到。</w:t>
      </w:r>
    </w:p>
    <w:p>
      <w:pPr>
        <w:wordWrap w:val="0"/>
        <w:spacing w:line="360" w:lineRule="auto"/>
        <w:jc w:val="right"/>
        <w:rPr>
          <w:sz w:val="24"/>
        </w:rPr>
      </w:pPr>
      <m:oMath>
        <m:r>
          <m:rPr/>
          <w:rPr>
            <w:rFonts w:ascii="Cambria Math" w:hAnsi="Cambria Math"/>
            <w:sz w:val="24"/>
          </w:rPr>
          <m:t>K</m:t>
        </m:r>
        <m:r>
          <m:rPr>
            <m:sty m:val="p"/>
          </m:rPr>
          <w:rPr>
            <w:rFonts w:hint="eastAsia" w:ascii="Cambria Math" w:hAnsi="Cambria Math"/>
            <w:sz w:val="24"/>
          </w:rPr>
          <m:t>=</m:t>
        </m:r>
        <m:bar>
          <m:barPr>
            <m:pos m:val="top"/>
            <m:ctrlPr>
              <w:rPr>
                <w:rFonts w:ascii="Cambria Math" w:hAnsi="Cambria Math"/>
                <w:sz w:val="24"/>
              </w:rPr>
            </m:ctrlPr>
          </m:barPr>
          <m:e>
            <m:sSub>
              <m:sSubPr>
                <m:ctrlPr>
                  <w:rPr>
                    <w:rFonts w:ascii="Cambria Math" w:hAnsi="Cambria Math"/>
                    <w:sz w:val="24"/>
                  </w:rPr>
                </m:ctrlPr>
              </m:sSubPr>
              <m:e>
                <m:r>
                  <m:rPr/>
                  <w:rPr>
                    <w:rFonts w:ascii="Cambria Math" w:hAnsi="Cambria Math"/>
                    <w:sz w:val="24"/>
                  </w:rPr>
                  <m:t>K</m:t>
                </m:r>
                <m:ctrlPr>
                  <w:rPr>
                    <w:rFonts w:ascii="Cambria Math" w:hAnsi="Cambria Math"/>
                    <w:sz w:val="24"/>
                  </w:rPr>
                </m:ctrlPr>
              </m:e>
              <m:sub>
                <m:r>
                  <m:rPr/>
                  <w:rPr>
                    <w:rFonts w:ascii="Cambria Math" w:hAnsi="Cambria Math"/>
                    <w:sz w:val="24"/>
                  </w:rPr>
                  <m:t>i</m:t>
                </m:r>
                <m:ctrlPr>
                  <w:rPr>
                    <w:rFonts w:ascii="Cambria Math" w:hAnsi="Cambria Math"/>
                    <w:sz w:val="24"/>
                  </w:rPr>
                </m:ctrlPr>
              </m:sub>
            </m:sSub>
            <m:ctrlPr>
              <w:rPr>
                <w:rFonts w:ascii="Cambria Math" w:hAnsi="Cambria Math"/>
                <w:sz w:val="24"/>
              </w:rPr>
            </m:ctrlPr>
          </m:e>
        </m:bar>
        <m:r>
          <m:rPr/>
          <w:rPr>
            <w:rFonts w:ascii="Cambria Math" w:hAnsi="Cambria Math"/>
            <w:sz w:val="24"/>
          </w:rPr>
          <m:t>∙</m:t>
        </m:r>
        <m:sSub>
          <m:sSubPr>
            <m:ctrlPr>
              <w:rPr>
                <w:rFonts w:ascii="Cambria Math" w:hAnsi="Cambria Math"/>
                <w:i/>
                <w:sz w:val="24"/>
              </w:rPr>
            </m:ctrlPr>
          </m:sSubPr>
          <m:e>
            <m:r>
              <m:rPr/>
              <w:rPr>
                <w:rFonts w:ascii="Cambria Math" w:hAnsi="Cambria Math"/>
                <w:sz w:val="24"/>
              </w:rPr>
              <m:t>N</m:t>
            </m:r>
            <m:ctrlPr>
              <w:rPr>
                <w:rFonts w:ascii="Cambria Math" w:hAnsi="Cambria Math"/>
                <w:i/>
                <w:sz w:val="24"/>
              </w:rPr>
            </m:ctrlPr>
          </m:e>
          <m:sub>
            <m:r>
              <m:rPr/>
              <w:rPr>
                <w:rFonts w:ascii="Cambria Math" w:hAnsi="Cambria Math"/>
                <w:sz w:val="24"/>
              </w:rPr>
              <m:t>0,Q</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 xml:space="preserve">                         (</w:t>
      </w:r>
      <w:r>
        <w:rPr>
          <w:sz w:val="24"/>
        </w:rPr>
        <w:t>4</w:t>
      </w:r>
      <w:r>
        <w:rPr>
          <w:rFonts w:hint="eastAsia"/>
          <w:sz w:val="24"/>
        </w:rPr>
        <w:t>)</w:t>
      </w:r>
    </w:p>
    <w:p>
      <w:pPr>
        <w:spacing w:line="360" w:lineRule="auto"/>
        <w:ind w:left="424" w:leftChars="202"/>
        <w:jc w:val="left"/>
        <w:rPr>
          <w:sz w:val="24"/>
        </w:rPr>
      </w:pPr>
      <w:r>
        <w:rPr>
          <w:rFonts w:hint="eastAsia"/>
          <w:sz w:val="24"/>
        </w:rPr>
        <w:t>式中：</w:t>
      </w:r>
    </w:p>
    <w:p>
      <w:pPr>
        <w:spacing w:line="360" w:lineRule="auto"/>
        <w:jc w:val="left"/>
        <w:rPr>
          <w:sz w:val="24"/>
        </w:rPr>
      </w:pPr>
      <w:r>
        <w:rPr>
          <w:rFonts w:hint="eastAsia"/>
          <w:sz w:val="24"/>
        </w:rPr>
        <w:tab/>
      </w:r>
      <w:r>
        <w:rPr>
          <w:sz w:val="24"/>
        </w:rPr>
        <w:t xml:space="preserve"> </w:t>
      </w:r>
      <m:oMath>
        <m:bar>
          <m:barPr>
            <m:pos m:val="top"/>
            <m:ctrlPr>
              <w:rPr>
                <w:rFonts w:ascii="Cambria Math" w:hAnsi="Cambria Math"/>
                <w:sz w:val="24"/>
              </w:rPr>
            </m:ctrlPr>
          </m:barPr>
          <m:e>
            <m:sSub>
              <m:sSubPr>
                <m:ctrlPr>
                  <w:rPr>
                    <w:rFonts w:ascii="Cambria Math" w:hAnsi="Cambria Math"/>
                    <w:sz w:val="24"/>
                  </w:rPr>
                </m:ctrlPr>
              </m:sSubPr>
              <m:e>
                <m:r>
                  <m:rPr/>
                  <w:rPr>
                    <w:rFonts w:ascii="Cambria Math" w:hAnsi="Cambria Math"/>
                    <w:sz w:val="24"/>
                  </w:rPr>
                  <m:t>K</m:t>
                </m:r>
                <m:ctrlPr>
                  <w:rPr>
                    <w:rFonts w:ascii="Cambria Math" w:hAnsi="Cambria Math"/>
                    <w:sz w:val="24"/>
                  </w:rPr>
                </m:ctrlPr>
              </m:e>
              <m:sub>
                <m:r>
                  <m:rPr/>
                  <w:rPr>
                    <w:rFonts w:ascii="Cambria Math" w:hAnsi="Cambria Math"/>
                    <w:sz w:val="24"/>
                  </w:rPr>
                  <m:t>i</m:t>
                </m:r>
                <m:ctrlPr>
                  <w:rPr>
                    <w:rFonts w:ascii="Cambria Math" w:hAnsi="Cambria Math"/>
                    <w:sz w:val="24"/>
                  </w:rPr>
                </m:ctrlPr>
              </m:sub>
            </m:sSub>
            <m:ctrlPr>
              <w:rPr>
                <w:rFonts w:ascii="Cambria Math" w:hAnsi="Cambria Math"/>
                <w:sz w:val="24"/>
              </w:rPr>
            </m:ctrlPr>
          </m:e>
        </m:bar>
      </m:oMath>
      <w:r>
        <w:rPr>
          <w:rFonts w:hint="eastAsia"/>
          <w:sz w:val="24"/>
        </w:rPr>
        <w:t xml:space="preserve">  </w:t>
      </w:r>
      <w:r>
        <w:rPr>
          <w:sz w:val="24"/>
        </w:rPr>
        <w:t>——</w:t>
      </w:r>
      <w:r>
        <w:rPr>
          <w:rFonts w:hint="eastAsia"/>
          <w:sz w:val="24"/>
        </w:rPr>
        <w:t xml:space="preserve"> 测量标准</w:t>
      </w:r>
      <w:r>
        <w:rPr>
          <w:rFonts w:hint="eastAsia"/>
          <w:i/>
          <w:sz w:val="24"/>
        </w:rPr>
        <w:t>i</w:t>
      </w:r>
      <w:r>
        <w:rPr>
          <w:rFonts w:hint="eastAsia"/>
          <w:sz w:val="24"/>
        </w:rPr>
        <w:t>次读数的平均值，div；</w:t>
      </w:r>
      <w:r>
        <w:rPr>
          <w:i/>
          <w:sz w:val="24"/>
        </w:rPr>
        <w:t>i</w:t>
      </w:r>
      <w:r>
        <w:rPr>
          <w:rFonts w:hint="eastAsia"/>
          <w:i/>
          <w:sz w:val="24"/>
        </w:rPr>
        <w:t xml:space="preserve"> </w:t>
      </w:r>
      <w:r>
        <w:rPr>
          <w:rFonts w:hint="eastAsia"/>
          <w:sz w:val="24"/>
        </w:rPr>
        <w:t>=1,2,3</w:t>
      </w:r>
      <w:r>
        <w:rPr>
          <w:sz w:val="24"/>
        </w:rPr>
        <w:t>…</w:t>
      </w:r>
      <w:r>
        <w:rPr>
          <w:rFonts w:hint="eastAsia"/>
          <w:sz w:val="24"/>
        </w:rPr>
        <w:t>n (n为自然数)；</w:t>
      </w:r>
    </w:p>
    <w:p>
      <w:pPr>
        <w:spacing w:line="360" w:lineRule="auto"/>
        <w:ind w:firstLine="480" w:firstLineChars="200"/>
        <w:jc w:val="left"/>
        <w:rPr>
          <w:sz w:val="24"/>
        </w:rPr>
      </w:pPr>
      <m:oMath>
        <m:sSub>
          <m:sSubPr>
            <m:ctrlPr>
              <w:rPr>
                <w:rFonts w:ascii="Cambria Math" w:hAnsi="Cambria Math"/>
                <w:i/>
                <w:sz w:val="24"/>
              </w:rPr>
            </m:ctrlPr>
          </m:sSubPr>
          <m:e>
            <m:r>
              <m:rPr/>
              <w:rPr>
                <w:rFonts w:ascii="Cambria Math" w:hAnsi="Cambria Math"/>
                <w:sz w:val="24"/>
              </w:rPr>
              <m:t>N</m:t>
            </m:r>
            <m:ctrlPr>
              <w:rPr>
                <w:rFonts w:ascii="Cambria Math" w:hAnsi="Cambria Math"/>
                <w:i/>
                <w:sz w:val="24"/>
              </w:rPr>
            </m:ctrlPr>
          </m:e>
          <m:sub>
            <m:r>
              <m:rPr/>
              <w:rPr>
                <w:rFonts w:ascii="Cambria Math" w:hAnsi="Cambria Math"/>
                <w:sz w:val="24"/>
              </w:rPr>
              <m:t>0,Q</m:t>
            </m:r>
            <m:ctrlPr>
              <w:rPr>
                <w:rFonts w:ascii="Cambria Math" w:hAnsi="Cambria Math"/>
                <w:i/>
                <w:sz w:val="24"/>
              </w:rPr>
            </m:ctrlPr>
          </m:sub>
        </m:sSub>
      </m:oMath>
      <w:r>
        <w:rPr>
          <w:rFonts w:hint="eastAsia"/>
          <w:sz w:val="24"/>
        </w:rPr>
        <w:t xml:space="preserve"> </w:t>
      </w:r>
      <w:r>
        <w:rPr>
          <w:sz w:val="24"/>
        </w:rPr>
        <w:t>——</w:t>
      </w:r>
      <w:r>
        <w:rPr>
          <w:rFonts w:hint="eastAsia"/>
          <w:sz w:val="24"/>
        </w:rPr>
        <w:t xml:space="preserve"> 测量标准在辐射质Q的校准因子，Gy/div；</w:t>
      </w:r>
    </w:p>
    <w:p>
      <w:pPr>
        <w:spacing w:line="360" w:lineRule="auto"/>
        <w:ind w:firstLine="480" w:firstLineChars="200"/>
        <w:jc w:val="left"/>
        <w:rPr>
          <w:sz w:val="24"/>
        </w:rPr>
      </w:pPr>
      <m:oMath>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 xml:space="preserve"> </w:t>
      </w:r>
      <w:r>
        <w:rPr>
          <w:sz w:val="24"/>
        </w:rPr>
        <w:t>——</w:t>
      </w:r>
      <w:r>
        <w:rPr>
          <w:rFonts w:hint="eastAsia"/>
          <w:sz w:val="24"/>
        </w:rPr>
        <w:t xml:space="preserve"> 测量标准测量时的空气密度修正因子，无量纲，（</w:t>
      </w:r>
      <w:r>
        <w:rPr>
          <w:sz w:val="24"/>
        </w:rPr>
        <w:t>见式（5</w:t>
      </w:r>
      <w:r>
        <w:rPr>
          <w:rFonts w:hint="eastAsia"/>
          <w:sz w:val="24"/>
        </w:rPr>
        <w:t>））。</w:t>
      </w:r>
    </w:p>
    <w:p>
      <w:pPr>
        <w:spacing w:line="360" w:lineRule="auto"/>
        <w:ind w:firstLine="3600" w:firstLineChars="1500"/>
        <w:jc w:val="right"/>
        <w:rPr>
          <w:sz w:val="24"/>
        </w:rPr>
      </w:pPr>
      <m:oMath>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r>
          <m:rPr/>
          <w:rPr>
            <w:rFonts w:hint="eastAsia" w:ascii="Cambria Math" w:hAnsi="Cambria Math"/>
            <w:sz w:val="24"/>
          </w:rPr>
          <m:t>=</m:t>
        </m:r>
        <m:f>
          <m:fPr>
            <m:ctrlPr>
              <w:rPr>
                <w:rFonts w:ascii="Cambria Math" w:hAnsi="Cambria Math"/>
                <w:i/>
                <w:sz w:val="24"/>
              </w:rPr>
            </m:ctrlPr>
          </m:fPr>
          <m:num>
            <m:r>
              <m:rPr/>
              <w:rPr>
                <w:rFonts w:ascii="Cambria Math" w:hAnsi="Cambria Math"/>
                <w:sz w:val="24"/>
              </w:rPr>
              <m:t>273.2</m:t>
            </m:r>
            <m:r>
              <m:rPr/>
              <w:rPr>
                <w:rFonts w:hint="eastAsia" w:ascii="Cambria Math" w:hAnsi="Cambria Math"/>
                <w:sz w:val="24"/>
              </w:rPr>
              <m:t>+</m:t>
            </m:r>
            <m:r>
              <m:rPr/>
              <w:rPr>
                <w:rFonts w:ascii="Cambria Math" w:hAnsi="Cambria Math"/>
                <w:sz w:val="24"/>
              </w:rPr>
              <m:t>t</m:t>
            </m:r>
            <m:ctrlPr>
              <w:rPr>
                <w:rFonts w:ascii="Cambria Math" w:hAnsi="Cambria Math"/>
                <w:i/>
                <w:sz w:val="24"/>
              </w:rPr>
            </m:ctrlPr>
          </m:num>
          <m:den>
            <m:r>
              <m:rPr/>
              <w:rPr>
                <w:rFonts w:ascii="Cambria Math" w:hAnsi="Cambria Math"/>
                <w:sz w:val="24"/>
              </w:rPr>
              <m:t>293.2</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101.3</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oMath>
      <w:r>
        <w:rPr>
          <w:rFonts w:hint="eastAsia"/>
          <w:sz w:val="24"/>
        </w:rPr>
        <w:t xml:space="preserve">                         (</w:t>
      </w:r>
      <w:r>
        <w:rPr>
          <w:sz w:val="24"/>
        </w:rPr>
        <w:t>5</w:t>
      </w:r>
      <w:r>
        <w:rPr>
          <w:rFonts w:hint="eastAsia"/>
          <w:sz w:val="24"/>
        </w:rPr>
        <w:t>)</w:t>
      </w:r>
    </w:p>
    <w:p>
      <w:pPr>
        <w:spacing w:line="360" w:lineRule="auto"/>
        <w:jc w:val="left"/>
        <w:rPr>
          <w:sz w:val="24"/>
        </w:rPr>
      </w:pPr>
      <w:r>
        <w:rPr>
          <w:rFonts w:hint="eastAsia"/>
          <w:sz w:val="24"/>
        </w:rPr>
        <w:tab/>
      </w:r>
      <w:r>
        <w:rPr>
          <w:rFonts w:hint="eastAsia"/>
          <w:sz w:val="24"/>
        </w:rPr>
        <w:t>式中：</w:t>
      </w:r>
    </w:p>
    <w:p>
      <w:pPr>
        <w:spacing w:line="360" w:lineRule="auto"/>
        <w:jc w:val="left"/>
        <w:rPr>
          <w:sz w:val="24"/>
        </w:rPr>
      </w:pPr>
      <w:r>
        <w:rPr>
          <w:rFonts w:hint="eastAsia"/>
          <w:sz w:val="24"/>
        </w:rPr>
        <w:tab/>
      </w:r>
      <w:r>
        <w:rPr>
          <w:position w:val="-6"/>
          <w:sz w:val="24"/>
        </w:rPr>
        <w:object>
          <v:shape id="_x0000_i1033" o:spt="75" type="#_x0000_t75" style="height:11.9pt;width:6.25pt;" o:ole="t" filled="f" o:preferrelative="t" stroked="f" coordsize="21600,21600">
            <v:path/>
            <v:fill on="f" focussize="0,0"/>
            <v:stroke on="f" joinstyle="miter"/>
            <v:imagedata r:id="rId33" o:title=""/>
            <o:lock v:ext="edit" aspectratio="t"/>
            <w10:wrap type="none"/>
            <w10:anchorlock/>
          </v:shape>
          <o:OLEObject Type="Embed" ProgID="Equation.3" ShapeID="_x0000_i1033" DrawAspect="Content" ObjectID="_1468075733" r:id="rId32">
            <o:LockedField>false</o:LockedField>
          </o:OLEObject>
        </w:object>
      </w:r>
      <w:r>
        <w:rPr>
          <w:sz w:val="24"/>
        </w:rPr>
        <w:t>——</w:t>
      </w:r>
      <w:r>
        <w:rPr>
          <w:rFonts w:hint="eastAsia"/>
          <w:sz w:val="24"/>
        </w:rPr>
        <w:t>测量时探测器所在环境的温度，℃；</w:t>
      </w:r>
    </w:p>
    <w:p>
      <w:pPr>
        <w:spacing w:line="360" w:lineRule="auto"/>
        <w:ind w:firstLine="360" w:firstLineChars="150"/>
        <w:jc w:val="left"/>
        <w:rPr>
          <w:sz w:val="24"/>
        </w:rPr>
      </w:pPr>
      <w:r>
        <w:rPr>
          <w:position w:val="-10"/>
          <w:sz w:val="24"/>
        </w:rPr>
        <w:object>
          <v:shape id="_x0000_i1034" o:spt="75" type="#_x0000_t75" style="height:13.15pt;width:11.9pt;" o:ole="t" filled="f" o:preferrelative="t" stroked="f" coordsize="21600,21600">
            <v:path/>
            <v:fill on="f" focussize="0,0"/>
            <v:stroke on="f" joinstyle="miter"/>
            <v:imagedata r:id="rId35" o:title=""/>
            <o:lock v:ext="edit" aspectratio="t"/>
            <w10:wrap type="none"/>
            <w10:anchorlock/>
          </v:shape>
          <o:OLEObject Type="Embed" ProgID="Equation.3" ShapeID="_x0000_i1034" DrawAspect="Content" ObjectID="_1468075734" r:id="rId34">
            <o:LockedField>false</o:LockedField>
          </o:OLEObject>
        </w:object>
      </w:r>
      <w:r>
        <w:rPr>
          <w:sz w:val="24"/>
        </w:rPr>
        <w:t>——测量时</w:t>
      </w:r>
      <w:r>
        <w:rPr>
          <w:rFonts w:hint="eastAsia"/>
          <w:sz w:val="24"/>
        </w:rPr>
        <w:t>探测器所在环境的气压，kPa。</w:t>
      </w:r>
    </w:p>
    <w:p>
      <w:pPr>
        <w:spacing w:line="360" w:lineRule="auto"/>
        <w:ind w:firstLine="420"/>
        <w:rPr>
          <w:sz w:val="24"/>
        </w:rPr>
      </w:pPr>
      <w:r>
        <w:rPr>
          <w:rFonts w:hint="eastAsia"/>
          <w:sz w:val="24"/>
        </w:rPr>
        <w:t xml:space="preserve">对于密封电离室或固体探测器，一般空气密度修正因子 </w:t>
      </w:r>
      <m:oMath>
        <m:sSub>
          <m:sSubPr>
            <m:ctrlPr>
              <w:rPr>
                <w:rFonts w:ascii="Cambria Math" w:hAnsi="Cambria Math"/>
                <w:i/>
                <w:sz w:val="24"/>
              </w:rPr>
            </m:ctrlPr>
          </m:sSubPr>
          <m:e>
            <m:r>
              <m:rPr/>
              <w:rPr>
                <w:rFonts w:ascii="Cambria Math" w:hAnsi="Cambria Math"/>
                <w:sz w:val="24"/>
              </w:rPr>
              <m:t>k</m:t>
            </m:r>
            <m:ctrlPr>
              <w:rPr>
                <w:rFonts w:ascii="Cambria Math" w:hAnsi="Cambria Math"/>
                <w:i/>
                <w:sz w:val="24"/>
              </w:rPr>
            </m:ctrlPr>
          </m:e>
          <m:sub>
            <m:r>
              <m:rPr/>
              <w:rPr>
                <w:rFonts w:ascii="Cambria Math" w:hAnsi="Cambria Math"/>
                <w:sz w:val="24"/>
              </w:rPr>
              <m:t>tp</m:t>
            </m:r>
            <m:ctrlPr>
              <w:rPr>
                <w:rFonts w:ascii="Cambria Math" w:hAnsi="Cambria Math"/>
                <w:i/>
                <w:sz w:val="24"/>
              </w:rPr>
            </m:ctrlPr>
          </m:sub>
        </m:sSub>
      </m:oMath>
      <w:r>
        <w:rPr>
          <w:rFonts w:hint="eastAsia"/>
          <w:sz w:val="24"/>
        </w:rPr>
        <w:t>=1.000。</w:t>
      </w:r>
    </w:p>
    <w:p>
      <w:pPr>
        <w:pStyle w:val="7"/>
        <w:spacing w:line="319" w:lineRule="auto"/>
        <w:rPr>
          <w:rFonts w:ascii="Times New Roman" w:hAnsi="Times New Roman" w:eastAsia="宋体"/>
          <w:b w:val="0"/>
          <w:bCs w:val="0"/>
        </w:rPr>
      </w:pPr>
      <w:bookmarkStart w:id="46" w:name="_Toc382269691"/>
      <w:bookmarkStart w:id="47" w:name="_Toc490329528"/>
      <w:r>
        <w:rPr>
          <w:rFonts w:hint="eastAsia" w:ascii="Times New Roman" w:hAnsi="Times New Roman" w:eastAsia="宋体"/>
          <w:b w:val="0"/>
          <w:bCs w:val="0"/>
        </w:rPr>
        <w:t xml:space="preserve">7.2.5  </w:t>
      </w:r>
      <w:bookmarkEnd w:id="46"/>
      <w:r>
        <w:rPr>
          <w:rFonts w:hint="eastAsia" w:ascii="Times New Roman" w:hAnsi="Times New Roman" w:eastAsia="宋体"/>
          <w:b w:val="0"/>
          <w:bCs w:val="0"/>
        </w:rPr>
        <w:t>能量响应</w:t>
      </w:r>
      <w:bookmarkEnd w:id="47"/>
    </w:p>
    <w:p>
      <w:pPr>
        <w:spacing w:line="360" w:lineRule="auto"/>
        <w:rPr>
          <w:sz w:val="24"/>
        </w:rPr>
      </w:pPr>
      <w:r>
        <w:rPr>
          <w:rFonts w:hint="eastAsia"/>
          <w:sz w:val="24"/>
        </w:rPr>
        <w:tab/>
      </w:r>
      <w:r>
        <w:rPr>
          <w:rFonts w:hint="eastAsia"/>
          <w:sz w:val="24"/>
        </w:rPr>
        <w:t>探测器的能量响应以参考辐射质的响应为参考值，由公式（4）计算辐射质的响应，取响应的绝对值中的最大值所对应的响应表示能量响应。参考辐射质为28 kV对应的辐射质。</w:t>
      </w:r>
    </w:p>
    <w:p>
      <w:pPr>
        <w:spacing w:line="360" w:lineRule="auto"/>
        <w:jc w:val="center"/>
        <w:rPr>
          <w:sz w:val="24"/>
        </w:rPr>
      </w:pPr>
      <w:r>
        <w:rPr>
          <w:position w:val="-30"/>
          <w:sz w:val="24"/>
        </w:rPr>
        <w:object>
          <v:shape id="_x0000_i1035" o:spt="75" type="#_x0000_t75" style="height:33.8pt;width:113.95pt;" o:ole="t" filled="f" o:preferrelative="t" stroked="f" coordsize="21600,21600">
            <v:path/>
            <v:fill on="f" focussize="0,0"/>
            <v:stroke on="f" joinstyle="miter"/>
            <v:imagedata r:id="rId37" o:title=""/>
            <o:lock v:ext="edit" aspectratio="t"/>
            <w10:wrap type="none"/>
            <w10:anchorlock/>
          </v:shape>
          <o:OLEObject Type="Embed" ProgID="Equation.DSMT4" ShapeID="_x0000_i1035" DrawAspect="Content" ObjectID="_1468075735" r:id="rId36">
            <o:LockedField>false</o:LockedField>
          </o:OLEObject>
        </w:object>
      </w:r>
    </w:p>
    <w:p>
      <w:pPr>
        <w:spacing w:line="360" w:lineRule="auto"/>
        <w:jc w:val="left"/>
        <w:rPr>
          <w:sz w:val="24"/>
        </w:rPr>
      </w:pPr>
      <w:r>
        <w:rPr>
          <w:rFonts w:hint="eastAsia"/>
          <w:sz w:val="24"/>
        </w:rPr>
        <w:tab/>
      </w:r>
      <w:r>
        <w:rPr>
          <w:position w:val="-12"/>
          <w:sz w:val="24"/>
        </w:rPr>
        <w:object>
          <v:shape id="_x0000_i1036" o:spt="75" type="#_x0000_t75" style="height:18.8pt;width:28.8pt;" o:ole="t" filled="f" o:preferrelative="t" stroked="f" coordsize="21600,21600">
            <v:path/>
            <v:fill on="f" focussize="0,0"/>
            <v:stroke on="f" joinstyle="miter"/>
            <v:imagedata r:id="rId39" o:title=""/>
            <o:lock v:ext="edit" aspectratio="t"/>
            <w10:wrap type="none"/>
            <w10:anchorlock/>
          </v:shape>
          <o:OLEObject Type="Embed" ProgID="Equation.DSMT4" ShapeID="_x0000_i1036" DrawAspect="Content" ObjectID="_1468075736" r:id="rId38">
            <o:LockedField>false</o:LockedField>
          </o:OLEObject>
        </w:object>
      </w:r>
      <w:r>
        <w:rPr>
          <w:rFonts w:hint="eastAsia"/>
          <w:sz w:val="24"/>
        </w:rPr>
        <w:t>—28 kV对应的辐射质的校准因子；</w:t>
      </w:r>
    </w:p>
    <w:p>
      <w:pPr>
        <w:spacing w:line="360" w:lineRule="auto"/>
        <w:jc w:val="left"/>
        <w:rPr>
          <w:sz w:val="24"/>
        </w:rPr>
      </w:pPr>
      <w:r>
        <w:rPr>
          <w:rFonts w:hint="eastAsia"/>
          <w:sz w:val="24"/>
        </w:rPr>
        <w:tab/>
      </w:r>
      <w:r>
        <w:rPr>
          <w:position w:val="-12"/>
          <w:sz w:val="24"/>
        </w:rPr>
        <w:object>
          <v:shape id="_x0000_i1037" o:spt="75" type="#_x0000_t75" style="height:18.8pt;width:15.05pt;" o:ole="t" filled="f" o:preferrelative="t" stroked="f" coordsize="21600,21600">
            <v:path/>
            <v:fill on="f" focussize="0,0"/>
            <v:stroke on="f" joinstyle="miter"/>
            <v:imagedata r:id="rId41" o:title=""/>
            <o:lock v:ext="edit" aspectratio="t"/>
            <w10:wrap type="none"/>
            <w10:anchorlock/>
          </v:shape>
          <o:OLEObject Type="Embed" ProgID="Equation.DSMT4" ShapeID="_x0000_i1037" DrawAspect="Content" ObjectID="_1468075737" r:id="rId40">
            <o:LockedField>false</o:LockedField>
          </o:OLEObject>
        </w:object>
      </w:r>
      <w:r>
        <w:rPr>
          <w:rFonts w:hint="eastAsia"/>
          <w:sz w:val="24"/>
        </w:rPr>
        <w:t xml:space="preserve">  —辐射质</w:t>
      </w:r>
      <w:r>
        <w:rPr>
          <w:position w:val="-6"/>
          <w:sz w:val="24"/>
        </w:rPr>
        <w:object>
          <v:shape id="_x0000_i1038" o:spt="75" type="#_x0000_t75" style="height:13.15pt;width:6.25pt;" o:ole="t" filled="f" o:preferrelative="t" stroked="f" coordsize="21600,21600">
            <v:path/>
            <v:fill on="f" focussize="0,0"/>
            <v:stroke on="f" joinstyle="miter"/>
            <v:imagedata r:id="rId43" o:title=""/>
            <o:lock v:ext="edit" aspectratio="t"/>
            <w10:wrap type="none"/>
            <w10:anchorlock/>
          </v:shape>
          <o:OLEObject Type="Embed" ProgID="Equation.DSMT4" ShapeID="_x0000_i1038" DrawAspect="Content" ObjectID="_1468075738" r:id="rId42">
            <o:LockedField>false</o:LockedField>
          </o:OLEObject>
        </w:object>
      </w:r>
      <w:r>
        <w:rPr>
          <w:rFonts w:hint="eastAsia"/>
          <w:sz w:val="24"/>
        </w:rPr>
        <w:t>的校准因子。</w:t>
      </w:r>
    </w:p>
    <w:p>
      <w:pPr>
        <w:pStyle w:val="6"/>
        <w:rPr>
          <w:rFonts w:eastAsia="黑体"/>
          <w:b w:val="0"/>
          <w:bCs w:val="0"/>
          <w:sz w:val="24"/>
          <w:szCs w:val="24"/>
        </w:rPr>
      </w:pPr>
      <w:bookmarkStart w:id="48" w:name="_Toc334539523"/>
      <w:bookmarkStart w:id="49" w:name="_Toc490329529"/>
      <w:r>
        <w:rPr>
          <w:rFonts w:eastAsia="黑体"/>
          <w:b w:val="0"/>
          <w:bCs w:val="0"/>
          <w:sz w:val="24"/>
          <w:szCs w:val="24"/>
        </w:rPr>
        <w:t>8  校准结果的表达</w:t>
      </w:r>
      <w:bookmarkEnd w:id="48"/>
      <w:bookmarkEnd w:id="49"/>
      <w:bookmarkStart w:id="50" w:name="_Toc334539524"/>
    </w:p>
    <w:p>
      <w:pPr>
        <w:spacing w:line="360" w:lineRule="auto"/>
        <w:rPr>
          <w:sz w:val="24"/>
        </w:rPr>
      </w:pPr>
      <w:r>
        <w:rPr>
          <w:sz w:val="24"/>
        </w:rPr>
        <w:t>8.1  校准记录</w:t>
      </w:r>
    </w:p>
    <w:p>
      <w:pPr>
        <w:spacing w:line="360" w:lineRule="auto"/>
        <w:rPr>
          <w:sz w:val="24"/>
        </w:rPr>
      </w:pPr>
      <w:r>
        <w:rPr>
          <w:sz w:val="24"/>
        </w:rPr>
        <w:t xml:space="preserve">    校准记录格式见附录B。</w:t>
      </w:r>
    </w:p>
    <w:p>
      <w:pPr>
        <w:spacing w:line="360" w:lineRule="auto"/>
        <w:rPr>
          <w:sz w:val="24"/>
        </w:rPr>
      </w:pPr>
      <w:r>
        <w:rPr>
          <w:sz w:val="24"/>
        </w:rPr>
        <w:t>8.2  校准结果的处理</w:t>
      </w:r>
    </w:p>
    <w:p>
      <w:pPr>
        <w:spacing w:line="360" w:lineRule="auto"/>
        <w:ind w:firstLine="480" w:firstLineChars="200"/>
        <w:rPr>
          <w:color w:val="FF0000"/>
          <w:sz w:val="24"/>
        </w:rPr>
      </w:pPr>
      <w:r>
        <w:rPr>
          <w:sz w:val="24"/>
        </w:rPr>
        <w:t>校准结果应在校准证书上反映。</w:t>
      </w:r>
    </w:p>
    <w:p>
      <w:pPr>
        <w:spacing w:line="360" w:lineRule="auto"/>
        <w:ind w:firstLine="480" w:firstLineChars="200"/>
        <w:rPr>
          <w:sz w:val="24"/>
        </w:rPr>
      </w:pPr>
      <w:r>
        <w:rPr>
          <w:sz w:val="24"/>
        </w:rPr>
        <w:t>校准证书由封面和校准证书内页组成，校准证书内页中校准数据结果格式见附录</w:t>
      </w:r>
      <w:r>
        <w:rPr>
          <w:rFonts w:hint="eastAsia"/>
          <w:sz w:val="24"/>
        </w:rPr>
        <w:t>C</w:t>
      </w:r>
      <w:r>
        <w:rPr>
          <w:sz w:val="24"/>
        </w:rPr>
        <w:t>。</w:t>
      </w:r>
    </w:p>
    <w:p>
      <w:pPr>
        <w:spacing w:line="360" w:lineRule="auto"/>
        <w:ind w:firstLine="480" w:firstLineChars="200"/>
        <w:rPr>
          <w:sz w:val="24"/>
        </w:rPr>
      </w:pPr>
      <w:r>
        <w:rPr>
          <w:sz w:val="24"/>
        </w:rPr>
        <w:t>校准证书上的信息还应包括以下内容：</w:t>
      </w:r>
    </w:p>
    <w:p>
      <w:pPr>
        <w:spacing w:line="360" w:lineRule="auto"/>
        <w:ind w:firstLine="480" w:firstLineChars="200"/>
        <w:rPr>
          <w:sz w:val="24"/>
        </w:rPr>
      </w:pPr>
      <w:r>
        <w:rPr>
          <w:sz w:val="24"/>
        </w:rPr>
        <w:t>a)标题，如“校准证书”；</w:t>
      </w:r>
    </w:p>
    <w:p>
      <w:pPr>
        <w:spacing w:line="360" w:lineRule="auto"/>
        <w:ind w:firstLine="480" w:firstLineChars="200"/>
        <w:rPr>
          <w:sz w:val="24"/>
        </w:rPr>
      </w:pPr>
      <w:r>
        <w:rPr>
          <w:sz w:val="24"/>
        </w:rPr>
        <w:t>b)实验室名称和地址；进行校准的地点（如果不在实验室内进行校准）；</w:t>
      </w:r>
    </w:p>
    <w:p>
      <w:pPr>
        <w:spacing w:line="360" w:lineRule="auto"/>
        <w:ind w:firstLine="480" w:firstLineChars="200"/>
        <w:rPr>
          <w:sz w:val="24"/>
        </w:rPr>
      </w:pPr>
      <w:r>
        <w:rPr>
          <w:sz w:val="24"/>
        </w:rPr>
        <w:t>c)校准证书的唯一标识（如证书编号），每页及总页数的标识；</w:t>
      </w:r>
    </w:p>
    <w:p>
      <w:pPr>
        <w:spacing w:line="360" w:lineRule="auto"/>
        <w:ind w:firstLine="480" w:firstLineChars="200"/>
        <w:rPr>
          <w:sz w:val="24"/>
        </w:rPr>
      </w:pPr>
      <w:r>
        <w:rPr>
          <w:sz w:val="24"/>
        </w:rPr>
        <w:t>d)送校单位的名称和地址；被校仪器的描述和明确标识（如型号、产品编号等）；</w:t>
      </w:r>
    </w:p>
    <w:p>
      <w:pPr>
        <w:spacing w:line="360" w:lineRule="auto"/>
        <w:ind w:firstLine="480" w:firstLineChars="200"/>
        <w:rPr>
          <w:sz w:val="24"/>
        </w:rPr>
      </w:pPr>
      <w:r>
        <w:rPr>
          <w:sz w:val="24"/>
        </w:rPr>
        <w:t>e)校准日期；</w:t>
      </w:r>
    </w:p>
    <w:p>
      <w:pPr>
        <w:spacing w:line="360" w:lineRule="auto"/>
        <w:ind w:firstLine="480" w:firstLineChars="200"/>
        <w:rPr>
          <w:sz w:val="24"/>
        </w:rPr>
      </w:pPr>
      <w:r>
        <w:rPr>
          <w:sz w:val="24"/>
        </w:rPr>
        <w:t>f)校准依据的技术规范的标识，包括名称和代号；</w:t>
      </w:r>
    </w:p>
    <w:p>
      <w:pPr>
        <w:spacing w:line="360" w:lineRule="auto"/>
        <w:ind w:firstLine="480" w:firstLineChars="200"/>
        <w:rPr>
          <w:sz w:val="24"/>
        </w:rPr>
      </w:pPr>
      <w:r>
        <w:rPr>
          <w:sz w:val="24"/>
        </w:rPr>
        <w:t>g)校准所用测量标准的溯源性及有效性说明；</w:t>
      </w:r>
    </w:p>
    <w:p>
      <w:pPr>
        <w:spacing w:line="360" w:lineRule="auto"/>
        <w:ind w:firstLine="480" w:firstLineChars="200"/>
        <w:rPr>
          <w:sz w:val="24"/>
        </w:rPr>
      </w:pPr>
      <w:r>
        <w:rPr>
          <w:sz w:val="24"/>
        </w:rPr>
        <w:t>h)校准环境的描述；</w:t>
      </w:r>
    </w:p>
    <w:p>
      <w:pPr>
        <w:spacing w:line="360" w:lineRule="auto"/>
        <w:ind w:firstLine="480" w:firstLineChars="200"/>
        <w:rPr>
          <w:sz w:val="24"/>
        </w:rPr>
      </w:pPr>
      <w:r>
        <w:rPr>
          <w:sz w:val="24"/>
        </w:rPr>
        <w:t>i)校准结果机器测量不确定度的说明；</w:t>
      </w:r>
    </w:p>
    <w:p>
      <w:pPr>
        <w:spacing w:line="360" w:lineRule="auto"/>
        <w:ind w:firstLine="480" w:firstLineChars="200"/>
        <w:rPr>
          <w:sz w:val="24"/>
        </w:rPr>
      </w:pPr>
      <w:r>
        <w:rPr>
          <w:sz w:val="24"/>
        </w:rPr>
        <w:t>j)校准证书签发人的签名、职务或等效标识。以及签发日期；</w:t>
      </w:r>
    </w:p>
    <w:p>
      <w:pPr>
        <w:spacing w:line="360" w:lineRule="auto"/>
        <w:ind w:firstLine="480" w:firstLineChars="200"/>
        <w:rPr>
          <w:sz w:val="24"/>
        </w:rPr>
      </w:pPr>
      <w:r>
        <w:rPr>
          <w:sz w:val="24"/>
        </w:rPr>
        <w:t>k)校准结果仅对被校仪器有效的声明；</w:t>
      </w:r>
    </w:p>
    <w:p>
      <w:pPr>
        <w:spacing w:line="360" w:lineRule="auto"/>
        <w:ind w:firstLine="480" w:firstLineChars="200"/>
        <w:rPr>
          <w:sz w:val="24"/>
        </w:rPr>
      </w:pPr>
      <w:r>
        <w:rPr>
          <w:sz w:val="24"/>
        </w:rPr>
        <w:t>l)未经实验室书面批准，不得部分复制校准证书的声明。</w:t>
      </w:r>
    </w:p>
    <w:p>
      <w:pPr>
        <w:pStyle w:val="6"/>
        <w:rPr>
          <w:rFonts w:ascii="黑体" w:hAnsi="黑体" w:eastAsia="黑体"/>
          <w:bCs w:val="0"/>
          <w:sz w:val="24"/>
          <w:szCs w:val="24"/>
        </w:rPr>
      </w:pPr>
      <w:bookmarkStart w:id="51" w:name="_Toc490329530"/>
      <w:r>
        <w:rPr>
          <w:rFonts w:ascii="黑体" w:hAnsi="黑体" w:eastAsia="黑体"/>
          <w:bCs w:val="0"/>
          <w:sz w:val="24"/>
          <w:szCs w:val="24"/>
        </w:rPr>
        <w:t>9</w:t>
      </w:r>
      <w:r>
        <w:rPr>
          <w:rFonts w:hint="eastAsia" w:ascii="黑体" w:hAnsi="黑体" w:eastAsia="黑体"/>
          <w:bCs w:val="0"/>
          <w:sz w:val="24"/>
          <w:szCs w:val="24"/>
        </w:rPr>
        <w:t xml:space="preserve">  </w:t>
      </w:r>
      <w:r>
        <w:rPr>
          <w:rFonts w:ascii="黑体" w:hAnsi="黑体" w:eastAsia="黑体"/>
          <w:bCs w:val="0"/>
          <w:sz w:val="24"/>
          <w:szCs w:val="24"/>
        </w:rPr>
        <w:t>复校时间间隔</w:t>
      </w:r>
      <w:bookmarkEnd w:id="50"/>
      <w:bookmarkEnd w:id="51"/>
    </w:p>
    <w:p>
      <w:pPr>
        <w:ind w:firstLine="420" w:firstLineChars="175"/>
        <w:rPr>
          <w:sz w:val="24"/>
          <w:szCs w:val="32"/>
        </w:rPr>
      </w:pPr>
      <w:r>
        <w:rPr>
          <w:sz w:val="24"/>
          <w:szCs w:val="32"/>
        </w:rPr>
        <w:t>复校时间间隔由用户自定，一般推荐复校时间间隔不超过一年，复校时应附带上一次的校准证书。</w:t>
      </w:r>
    </w:p>
    <w:p>
      <w:pPr>
        <w:pStyle w:val="6"/>
        <w:spacing w:before="0" w:after="0" w:line="240" w:lineRule="auto"/>
        <w:rPr>
          <w:rFonts w:ascii="黑体" w:hAnsi="黑体" w:eastAsia="黑体"/>
          <w:b w:val="0"/>
          <w:bCs w:val="0"/>
          <w:lang w:eastAsia="zh-CN"/>
        </w:rPr>
      </w:pPr>
      <w:r>
        <w:br w:type="page"/>
      </w:r>
      <w:bookmarkStart w:id="52" w:name="_Toc490329531"/>
      <w:r>
        <w:rPr>
          <w:rFonts w:hint="eastAsia" w:ascii="黑体" w:hAnsi="黑体" w:eastAsia="黑体"/>
          <w:b w:val="0"/>
          <w:bCs w:val="0"/>
        </w:rPr>
        <w:t>附录A</w:t>
      </w:r>
      <w:bookmarkEnd w:id="52"/>
    </w:p>
    <w:p>
      <w:pPr>
        <w:rPr>
          <w:b/>
          <w:color w:val="FF0000"/>
          <w:lang w:val="zh-CN"/>
        </w:rPr>
      </w:pPr>
    </w:p>
    <w:p>
      <w:pPr>
        <w:jc w:val="center"/>
        <w:rPr>
          <w:rFonts w:ascii="黑体" w:eastAsia="黑体"/>
          <w:sz w:val="28"/>
          <w:szCs w:val="28"/>
        </w:rPr>
      </w:pPr>
      <w:r>
        <w:rPr>
          <w:rFonts w:hint="eastAsia" w:ascii="黑体" w:eastAsia="黑体"/>
          <w:sz w:val="28"/>
          <w:szCs w:val="28"/>
        </w:rPr>
        <w:t>乳腺X射线辐射源输出辐射质的要求</w:t>
      </w:r>
    </w:p>
    <w:p>
      <w:pPr>
        <w:spacing w:after="156" w:afterLines="50" w:line="360" w:lineRule="auto"/>
        <w:jc w:val="center"/>
        <w:rPr>
          <w:rFonts w:ascii="黑体" w:eastAsia="黑体"/>
          <w:sz w:val="24"/>
        </w:rPr>
      </w:pPr>
      <w:r>
        <w:rPr>
          <w:rFonts w:hint="eastAsia" w:ascii="黑体" w:eastAsia="黑体"/>
          <w:sz w:val="24"/>
        </w:rPr>
        <w:t>表A.1 RQR-M系列标准辐射质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RQR-M1</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RQR-M2</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RQR-M3</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RQR-M4</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该系列标准辐射质的阳极靶为钼靶，X射线系统总过滤为0.032 mm±0.002 mm的钼。半值层误差应在±0.02范围内。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表A.2 RQA-M系列标准辐射质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6"/>
        <w:gridCol w:w="2284"/>
        <w:gridCol w:w="2173"/>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辐射质</w:t>
            </w:r>
          </w:p>
        </w:tc>
        <w:tc>
          <w:tcPr>
            <w:tcW w:w="2284" w:type="dxa"/>
          </w:tcPr>
          <w:p>
            <w:pPr>
              <w:spacing w:after="156" w:afterLines="50" w:line="360" w:lineRule="auto"/>
              <w:jc w:val="center"/>
              <w:rPr>
                <w:rFonts w:ascii="宋体" w:hAnsi="宋体"/>
                <w:sz w:val="24"/>
              </w:rPr>
            </w:pPr>
            <w:r>
              <w:rPr>
                <w:rFonts w:hint="eastAsia" w:ascii="宋体" w:hAnsi="宋体"/>
                <w:sz w:val="24"/>
              </w:rPr>
              <w:t>管电压/kV</w:t>
            </w:r>
          </w:p>
        </w:tc>
        <w:tc>
          <w:tcPr>
            <w:tcW w:w="2173" w:type="dxa"/>
          </w:tcPr>
          <w:p>
            <w:pPr>
              <w:spacing w:after="156" w:afterLines="50" w:line="360" w:lineRule="auto"/>
              <w:jc w:val="center"/>
              <w:rPr>
                <w:rFonts w:ascii="宋体" w:hAnsi="宋体"/>
                <w:sz w:val="24"/>
              </w:rPr>
            </w:pPr>
            <w:r>
              <w:rPr>
                <w:rFonts w:hint="eastAsia" w:ascii="宋体" w:hAnsi="宋体"/>
                <w:sz w:val="24"/>
              </w:rPr>
              <w:t>附加过滤/mm Al</w:t>
            </w:r>
          </w:p>
        </w:tc>
        <w:tc>
          <w:tcPr>
            <w:tcW w:w="2321"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RQA-M1</w:t>
            </w:r>
          </w:p>
        </w:tc>
        <w:tc>
          <w:tcPr>
            <w:tcW w:w="2284" w:type="dxa"/>
          </w:tcPr>
          <w:p>
            <w:pPr>
              <w:spacing w:after="156" w:afterLines="50" w:line="360" w:lineRule="auto"/>
              <w:jc w:val="center"/>
              <w:rPr>
                <w:rFonts w:ascii="宋体" w:hAnsi="宋体"/>
                <w:sz w:val="24"/>
              </w:rPr>
            </w:pPr>
            <w:r>
              <w:rPr>
                <w:rFonts w:hint="eastAsia" w:ascii="宋体" w:hAnsi="宋体"/>
                <w:sz w:val="24"/>
              </w:rPr>
              <w:t>25</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RQA-M2</w:t>
            </w:r>
          </w:p>
        </w:tc>
        <w:tc>
          <w:tcPr>
            <w:tcW w:w="2284" w:type="dxa"/>
          </w:tcPr>
          <w:p>
            <w:pPr>
              <w:spacing w:after="156" w:afterLines="50" w:line="360" w:lineRule="auto"/>
              <w:jc w:val="center"/>
              <w:rPr>
                <w:rFonts w:ascii="宋体" w:hAnsi="宋体"/>
                <w:sz w:val="24"/>
              </w:rPr>
            </w:pPr>
            <w:r>
              <w:rPr>
                <w:rFonts w:hint="eastAsia" w:ascii="宋体" w:hAnsi="宋体"/>
                <w:sz w:val="24"/>
              </w:rPr>
              <w:t>28</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RQA-M3</w:t>
            </w:r>
          </w:p>
        </w:tc>
        <w:tc>
          <w:tcPr>
            <w:tcW w:w="2284" w:type="dxa"/>
          </w:tcPr>
          <w:p>
            <w:pPr>
              <w:spacing w:after="156" w:afterLines="50" w:line="360" w:lineRule="auto"/>
              <w:jc w:val="center"/>
              <w:rPr>
                <w:rFonts w:ascii="宋体" w:hAnsi="宋体"/>
                <w:sz w:val="24"/>
              </w:rPr>
            </w:pPr>
            <w:r>
              <w:rPr>
                <w:rFonts w:hint="eastAsia" w:ascii="宋体" w:hAnsi="宋体"/>
                <w:sz w:val="24"/>
              </w:rPr>
              <w:t>30</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RQA-M4</w:t>
            </w:r>
          </w:p>
        </w:tc>
        <w:tc>
          <w:tcPr>
            <w:tcW w:w="2284" w:type="dxa"/>
          </w:tcPr>
          <w:p>
            <w:pPr>
              <w:spacing w:after="156" w:afterLines="50" w:line="360" w:lineRule="auto"/>
              <w:jc w:val="center"/>
              <w:rPr>
                <w:rFonts w:ascii="宋体" w:hAnsi="宋体"/>
                <w:sz w:val="24"/>
              </w:rPr>
            </w:pPr>
            <w:r>
              <w:rPr>
                <w:rFonts w:hint="eastAsia" w:ascii="宋体" w:hAnsi="宋体"/>
                <w:sz w:val="24"/>
              </w:rPr>
              <w:t>35</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4"/>
          </w:tcPr>
          <w:p>
            <w:pPr>
              <w:spacing w:after="156" w:afterLines="50" w:line="360" w:lineRule="auto"/>
              <w:jc w:val="left"/>
              <w:rPr>
                <w:rFonts w:ascii="宋体" w:hAnsi="宋体"/>
                <w:szCs w:val="21"/>
              </w:rPr>
            </w:pPr>
            <w:r>
              <w:rPr>
                <w:rFonts w:hint="eastAsia" w:ascii="宋体" w:hAnsi="宋体"/>
                <w:szCs w:val="21"/>
              </w:rPr>
              <w:t>该系列标准辐射质可以在建立RQR-M系列辐射质后，通过将附加过滤置于距焦点200 mm~300 mm的位置而建立。</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3</w:t>
      </w:r>
      <w:r>
        <w:rPr>
          <w:rFonts w:hint="eastAsia" w:ascii="黑体" w:eastAsia="黑体"/>
          <w:sz w:val="24"/>
        </w:rPr>
        <w:t xml:space="preserve"> </w:t>
      </w:r>
      <w:r>
        <w:rPr>
          <w:rFonts w:ascii="黑体" w:eastAsia="黑体"/>
          <w:sz w:val="24"/>
        </w:rPr>
        <w:t>WSV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WSV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w:t>
            </w:r>
            <w:r>
              <w:rPr>
                <w:rFonts w:ascii="宋体" w:hAnsi="宋体"/>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WSV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WSV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WSV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WSV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WSV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该系列标准辐射质的阳极靶为钨靶，X射线系统总过滤为0.05 mm的银。半值层误差应在±0.02范围内。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4</w:t>
      </w:r>
      <w:r>
        <w:rPr>
          <w:rFonts w:hint="eastAsia" w:ascii="黑体" w:eastAsia="黑体"/>
          <w:sz w:val="24"/>
        </w:rPr>
        <w:t xml:space="preserve"> </w:t>
      </w:r>
      <w:r>
        <w:rPr>
          <w:rFonts w:ascii="黑体" w:eastAsia="黑体"/>
          <w:sz w:val="24"/>
        </w:rPr>
        <w:t>WSH</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6"/>
        <w:gridCol w:w="2284"/>
        <w:gridCol w:w="2173"/>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6" w:type="dxa"/>
          </w:tcPr>
          <w:p>
            <w:pPr>
              <w:spacing w:after="156" w:afterLines="50" w:line="360" w:lineRule="auto"/>
              <w:jc w:val="center"/>
              <w:rPr>
                <w:rFonts w:ascii="宋体" w:hAnsi="宋体"/>
                <w:sz w:val="24"/>
              </w:rPr>
            </w:pPr>
            <w:r>
              <w:rPr>
                <w:rFonts w:hint="eastAsia" w:ascii="宋体" w:hAnsi="宋体"/>
                <w:sz w:val="24"/>
              </w:rPr>
              <w:t>辐射质</w:t>
            </w:r>
          </w:p>
        </w:tc>
        <w:tc>
          <w:tcPr>
            <w:tcW w:w="2284" w:type="dxa"/>
          </w:tcPr>
          <w:p>
            <w:pPr>
              <w:spacing w:after="156" w:afterLines="50" w:line="360" w:lineRule="auto"/>
              <w:jc w:val="center"/>
              <w:rPr>
                <w:rFonts w:ascii="宋体" w:hAnsi="宋体"/>
                <w:sz w:val="24"/>
              </w:rPr>
            </w:pPr>
            <w:r>
              <w:rPr>
                <w:rFonts w:hint="eastAsia" w:ascii="宋体" w:hAnsi="宋体"/>
                <w:sz w:val="24"/>
              </w:rPr>
              <w:t>管电压/kV</w:t>
            </w:r>
          </w:p>
        </w:tc>
        <w:tc>
          <w:tcPr>
            <w:tcW w:w="2173" w:type="dxa"/>
          </w:tcPr>
          <w:p>
            <w:pPr>
              <w:spacing w:after="156" w:afterLines="50" w:line="360" w:lineRule="auto"/>
              <w:jc w:val="center"/>
              <w:rPr>
                <w:rFonts w:ascii="宋体" w:hAnsi="宋体"/>
                <w:sz w:val="24"/>
              </w:rPr>
            </w:pPr>
            <w:r>
              <w:rPr>
                <w:rFonts w:hint="eastAsia" w:ascii="宋体" w:hAnsi="宋体"/>
                <w:sz w:val="24"/>
              </w:rPr>
              <w:t>附加过滤/mm Al</w:t>
            </w:r>
          </w:p>
        </w:tc>
        <w:tc>
          <w:tcPr>
            <w:tcW w:w="2321"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 20</w:t>
            </w:r>
          </w:p>
        </w:tc>
        <w:tc>
          <w:tcPr>
            <w:tcW w:w="2284" w:type="dxa"/>
          </w:tcPr>
          <w:p>
            <w:pPr>
              <w:spacing w:after="156" w:afterLines="50" w:line="360" w:lineRule="auto"/>
              <w:jc w:val="center"/>
              <w:rPr>
                <w:rFonts w:ascii="宋体" w:hAnsi="宋体"/>
                <w:sz w:val="24"/>
              </w:rPr>
            </w:pPr>
            <w:r>
              <w:rPr>
                <w:rFonts w:ascii="宋体" w:hAnsi="宋体"/>
                <w:sz w:val="24"/>
              </w:rPr>
              <w:t>20</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 25</w:t>
            </w:r>
          </w:p>
        </w:tc>
        <w:tc>
          <w:tcPr>
            <w:tcW w:w="2284" w:type="dxa"/>
          </w:tcPr>
          <w:p>
            <w:pPr>
              <w:spacing w:after="156" w:afterLines="50" w:line="360" w:lineRule="auto"/>
              <w:jc w:val="center"/>
              <w:rPr>
                <w:rFonts w:ascii="宋体" w:hAnsi="宋体"/>
                <w:sz w:val="24"/>
              </w:rPr>
            </w:pPr>
            <w:r>
              <w:rPr>
                <w:rFonts w:hint="eastAsia" w:ascii="宋体" w:hAnsi="宋体"/>
                <w:sz w:val="24"/>
              </w:rPr>
              <w:t>25</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 28</w:t>
            </w:r>
          </w:p>
        </w:tc>
        <w:tc>
          <w:tcPr>
            <w:tcW w:w="2284" w:type="dxa"/>
          </w:tcPr>
          <w:p>
            <w:pPr>
              <w:spacing w:after="156" w:afterLines="50" w:line="360" w:lineRule="auto"/>
              <w:jc w:val="center"/>
              <w:rPr>
                <w:rFonts w:ascii="宋体" w:hAnsi="宋体"/>
                <w:sz w:val="24"/>
              </w:rPr>
            </w:pPr>
            <w:r>
              <w:rPr>
                <w:rFonts w:hint="eastAsia" w:ascii="宋体" w:hAnsi="宋体"/>
                <w:sz w:val="24"/>
              </w:rPr>
              <w:t>28</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 30</w:t>
            </w:r>
          </w:p>
        </w:tc>
        <w:tc>
          <w:tcPr>
            <w:tcW w:w="2284" w:type="dxa"/>
          </w:tcPr>
          <w:p>
            <w:pPr>
              <w:spacing w:after="156" w:afterLines="50" w:line="360" w:lineRule="auto"/>
              <w:jc w:val="center"/>
              <w:rPr>
                <w:rFonts w:ascii="宋体" w:hAnsi="宋体"/>
                <w:sz w:val="24"/>
              </w:rPr>
            </w:pPr>
            <w:r>
              <w:rPr>
                <w:rFonts w:hint="eastAsia" w:ascii="宋体" w:hAnsi="宋体"/>
                <w:sz w:val="24"/>
              </w:rPr>
              <w:t>30</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w:t>
            </w:r>
            <w:r>
              <w:rPr>
                <w:rFonts w:hint="eastAsia" w:ascii="宋体" w:hAnsi="宋体"/>
                <w:sz w:val="24"/>
              </w:rPr>
              <w:t xml:space="preserve"> 35</w:t>
            </w:r>
          </w:p>
        </w:tc>
        <w:tc>
          <w:tcPr>
            <w:tcW w:w="2284" w:type="dxa"/>
          </w:tcPr>
          <w:p>
            <w:pPr>
              <w:spacing w:after="156" w:afterLines="50" w:line="360" w:lineRule="auto"/>
              <w:jc w:val="center"/>
              <w:rPr>
                <w:rFonts w:ascii="宋体" w:hAnsi="宋体"/>
                <w:sz w:val="24"/>
              </w:rPr>
            </w:pPr>
            <w:r>
              <w:rPr>
                <w:rFonts w:hint="eastAsia" w:ascii="宋体" w:hAnsi="宋体"/>
                <w:sz w:val="24"/>
              </w:rPr>
              <w:t>35</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WSH</w:t>
            </w:r>
            <w:r>
              <w:rPr>
                <w:rFonts w:hint="eastAsia" w:ascii="宋体" w:hAnsi="宋体"/>
                <w:sz w:val="24"/>
              </w:rPr>
              <w:t xml:space="preserve"> 40</w:t>
            </w:r>
          </w:p>
        </w:tc>
        <w:tc>
          <w:tcPr>
            <w:tcW w:w="2284" w:type="dxa"/>
          </w:tcPr>
          <w:p>
            <w:pPr>
              <w:spacing w:after="156" w:afterLines="50" w:line="360" w:lineRule="auto"/>
              <w:jc w:val="center"/>
              <w:rPr>
                <w:rFonts w:ascii="宋体" w:hAnsi="宋体"/>
                <w:sz w:val="24"/>
              </w:rPr>
            </w:pPr>
            <w:r>
              <w:rPr>
                <w:rFonts w:hint="eastAsia" w:ascii="宋体" w:hAnsi="宋体"/>
                <w:sz w:val="24"/>
              </w:rPr>
              <w:t>40</w:t>
            </w:r>
          </w:p>
        </w:tc>
        <w:tc>
          <w:tcPr>
            <w:tcW w:w="2173" w:type="dxa"/>
          </w:tcPr>
          <w:p>
            <w:pPr>
              <w:spacing w:after="156" w:afterLines="50" w:line="360" w:lineRule="auto"/>
              <w:jc w:val="center"/>
              <w:rPr>
                <w:rFonts w:ascii="宋体" w:hAnsi="宋体"/>
                <w:sz w:val="24"/>
              </w:rPr>
            </w:pPr>
            <w:r>
              <w:rPr>
                <w:rFonts w:hint="eastAsia" w:ascii="宋体" w:hAnsi="宋体"/>
                <w:sz w:val="24"/>
              </w:rPr>
              <w:t>2</w:t>
            </w:r>
          </w:p>
        </w:tc>
        <w:tc>
          <w:tcPr>
            <w:tcW w:w="2321" w:type="dxa"/>
          </w:tcPr>
          <w:p>
            <w:pPr>
              <w:spacing w:after="156" w:afterLines="50" w:line="360" w:lineRule="auto"/>
              <w:jc w:val="center"/>
              <w:rPr>
                <w:rFonts w:ascii="宋体" w:hAnsi="宋体"/>
                <w:sz w:val="24"/>
              </w:rPr>
            </w:pPr>
            <w:r>
              <w:rPr>
                <w:rFonts w:hint="eastAsia" w:ascii="宋体" w:hAnsi="宋体"/>
                <w:sz w:val="24"/>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4"/>
          </w:tcPr>
          <w:p>
            <w:pPr>
              <w:spacing w:after="156" w:afterLines="50" w:line="360" w:lineRule="auto"/>
              <w:jc w:val="left"/>
              <w:rPr>
                <w:rFonts w:ascii="宋体" w:hAnsi="宋体"/>
                <w:szCs w:val="21"/>
              </w:rPr>
            </w:pPr>
            <w:r>
              <w:rPr>
                <w:rFonts w:hint="eastAsia" w:ascii="宋体" w:hAnsi="宋体"/>
                <w:szCs w:val="21"/>
              </w:rPr>
              <w:t>该系列标准辐射质可以在建立</w:t>
            </w:r>
            <w:r>
              <w:rPr>
                <w:rFonts w:ascii="宋体" w:hAnsi="宋体"/>
                <w:szCs w:val="21"/>
              </w:rPr>
              <w:t>WSV</w:t>
            </w:r>
            <w:r>
              <w:rPr>
                <w:rFonts w:hint="eastAsia" w:ascii="宋体" w:hAnsi="宋体"/>
                <w:szCs w:val="21"/>
              </w:rPr>
              <w:t>系列辐射质后，通过将附加过滤置于距焦点200 mm~300 mm的位置而建立。</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5 WAV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ascii="宋体" w:hAnsi="宋体"/>
                <w:sz w:val="24"/>
              </w:rPr>
              <w:t xml:space="preserve">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w:t>
            </w:r>
            <w:r>
              <w:rPr>
                <w:rFonts w:ascii="宋体" w:hAnsi="宋体"/>
                <w:sz w:val="24"/>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ascii="宋体" w:hAnsi="宋体"/>
                <w:sz w:val="24"/>
              </w:rPr>
              <w:t xml:space="preserve">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ascii="宋体" w:hAnsi="宋体"/>
                <w:sz w:val="24"/>
              </w:rPr>
              <w:t xml:space="preserve">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0.5</w:t>
            </w:r>
            <w:r>
              <w:rPr>
                <w:rFonts w:ascii="宋体" w:hAnsi="宋体"/>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WAV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该系列标准辐射质的阳极靶为钨靶，X射线系统总过滤为0.5 mm的铝。半值层误差应在±0.02范围内。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6</w:t>
      </w:r>
      <w:r>
        <w:rPr>
          <w:rFonts w:hint="eastAsia" w:ascii="黑体" w:eastAsia="黑体"/>
          <w:sz w:val="24"/>
        </w:rPr>
        <w:t xml:space="preserve"> </w:t>
      </w:r>
      <w:r>
        <w:rPr>
          <w:rFonts w:ascii="黑体" w:eastAsia="黑体"/>
          <w:sz w:val="24"/>
        </w:rPr>
        <w:t>WAH</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6"/>
        <w:gridCol w:w="2284"/>
        <w:gridCol w:w="2173"/>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辐射质</w:t>
            </w:r>
          </w:p>
        </w:tc>
        <w:tc>
          <w:tcPr>
            <w:tcW w:w="2284" w:type="dxa"/>
          </w:tcPr>
          <w:p>
            <w:pPr>
              <w:spacing w:after="156" w:afterLines="50" w:line="360" w:lineRule="auto"/>
              <w:jc w:val="center"/>
              <w:rPr>
                <w:rFonts w:ascii="宋体" w:hAnsi="宋体"/>
                <w:sz w:val="24"/>
              </w:rPr>
            </w:pPr>
            <w:r>
              <w:rPr>
                <w:rFonts w:hint="eastAsia" w:ascii="宋体" w:hAnsi="宋体"/>
                <w:sz w:val="24"/>
              </w:rPr>
              <w:t>管电压/kV</w:t>
            </w:r>
          </w:p>
        </w:tc>
        <w:tc>
          <w:tcPr>
            <w:tcW w:w="2173" w:type="dxa"/>
          </w:tcPr>
          <w:p>
            <w:pPr>
              <w:spacing w:after="156" w:afterLines="50" w:line="360" w:lineRule="auto"/>
              <w:jc w:val="center"/>
              <w:rPr>
                <w:rFonts w:ascii="宋体" w:hAnsi="宋体"/>
                <w:sz w:val="24"/>
              </w:rPr>
            </w:pPr>
            <w:r>
              <w:rPr>
                <w:rFonts w:hint="eastAsia" w:ascii="宋体" w:hAnsi="宋体"/>
                <w:sz w:val="24"/>
              </w:rPr>
              <w:t>附加过滤/mm Al</w:t>
            </w:r>
          </w:p>
        </w:tc>
        <w:tc>
          <w:tcPr>
            <w:tcW w:w="2321"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 20</w:t>
            </w:r>
          </w:p>
        </w:tc>
        <w:tc>
          <w:tcPr>
            <w:tcW w:w="2284" w:type="dxa"/>
          </w:tcPr>
          <w:p>
            <w:pPr>
              <w:spacing w:after="156" w:afterLines="50" w:line="360" w:lineRule="auto"/>
              <w:jc w:val="center"/>
              <w:rPr>
                <w:rFonts w:ascii="宋体" w:hAnsi="宋体"/>
                <w:sz w:val="24"/>
              </w:rPr>
            </w:pPr>
            <w:r>
              <w:rPr>
                <w:rFonts w:ascii="宋体" w:hAnsi="宋体"/>
                <w:sz w:val="24"/>
              </w:rPr>
              <w:t>20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 25</w:t>
            </w:r>
          </w:p>
        </w:tc>
        <w:tc>
          <w:tcPr>
            <w:tcW w:w="2284" w:type="dxa"/>
          </w:tcPr>
          <w:p>
            <w:pPr>
              <w:spacing w:after="156" w:afterLines="50" w:line="360" w:lineRule="auto"/>
              <w:jc w:val="center"/>
              <w:rPr>
                <w:rFonts w:ascii="宋体" w:hAnsi="宋体"/>
                <w:sz w:val="24"/>
              </w:rPr>
            </w:pPr>
            <w:r>
              <w:rPr>
                <w:rFonts w:hint="eastAsia" w:ascii="宋体" w:hAnsi="宋体"/>
                <w:sz w:val="24"/>
              </w:rPr>
              <w:t>25</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 28</w:t>
            </w:r>
          </w:p>
        </w:tc>
        <w:tc>
          <w:tcPr>
            <w:tcW w:w="2284" w:type="dxa"/>
          </w:tcPr>
          <w:p>
            <w:pPr>
              <w:spacing w:after="156" w:afterLines="50" w:line="360" w:lineRule="auto"/>
              <w:jc w:val="center"/>
              <w:rPr>
                <w:rFonts w:ascii="宋体" w:hAnsi="宋体"/>
                <w:sz w:val="24"/>
              </w:rPr>
            </w:pPr>
            <w:r>
              <w:rPr>
                <w:rFonts w:hint="eastAsia" w:ascii="宋体" w:hAnsi="宋体"/>
                <w:sz w:val="24"/>
              </w:rPr>
              <w:t>28</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0.88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 30</w:t>
            </w:r>
          </w:p>
        </w:tc>
        <w:tc>
          <w:tcPr>
            <w:tcW w:w="2284" w:type="dxa"/>
          </w:tcPr>
          <w:p>
            <w:pPr>
              <w:spacing w:after="156" w:afterLines="50" w:line="360" w:lineRule="auto"/>
              <w:jc w:val="center"/>
              <w:rPr>
                <w:rFonts w:ascii="宋体" w:hAnsi="宋体"/>
                <w:sz w:val="24"/>
              </w:rPr>
            </w:pPr>
            <w:r>
              <w:rPr>
                <w:rFonts w:hint="eastAsia" w:ascii="宋体" w:hAnsi="宋体"/>
                <w:sz w:val="24"/>
              </w:rPr>
              <w:t>30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w:t>
            </w:r>
            <w:r>
              <w:rPr>
                <w:rFonts w:hint="eastAsia" w:ascii="宋体" w:hAnsi="宋体"/>
                <w:sz w:val="24"/>
              </w:rPr>
              <w:t xml:space="preserve"> 35</w:t>
            </w:r>
          </w:p>
        </w:tc>
        <w:tc>
          <w:tcPr>
            <w:tcW w:w="2284" w:type="dxa"/>
          </w:tcPr>
          <w:p>
            <w:pPr>
              <w:spacing w:after="156" w:afterLines="50" w:line="360" w:lineRule="auto"/>
              <w:jc w:val="center"/>
              <w:rPr>
                <w:rFonts w:ascii="宋体" w:hAnsi="宋体"/>
                <w:sz w:val="24"/>
              </w:rPr>
            </w:pPr>
            <w:r>
              <w:rPr>
                <w:rFonts w:hint="eastAsia" w:ascii="宋体" w:hAnsi="宋体"/>
                <w:sz w:val="24"/>
              </w:rPr>
              <w:t>35</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WAH</w:t>
            </w:r>
            <w:r>
              <w:rPr>
                <w:rFonts w:hint="eastAsia" w:ascii="宋体" w:hAnsi="宋体"/>
                <w:sz w:val="24"/>
              </w:rPr>
              <w:t xml:space="preserve"> 40</w:t>
            </w:r>
          </w:p>
        </w:tc>
        <w:tc>
          <w:tcPr>
            <w:tcW w:w="2284" w:type="dxa"/>
          </w:tcPr>
          <w:p>
            <w:pPr>
              <w:spacing w:after="156" w:afterLines="50" w:line="360" w:lineRule="auto"/>
              <w:jc w:val="center"/>
              <w:rPr>
                <w:rFonts w:ascii="宋体" w:hAnsi="宋体"/>
                <w:sz w:val="24"/>
              </w:rPr>
            </w:pPr>
            <w:r>
              <w:rPr>
                <w:rFonts w:hint="eastAsia" w:ascii="宋体" w:hAnsi="宋体"/>
                <w:sz w:val="24"/>
              </w:rPr>
              <w:t>40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.5</w:t>
            </w:r>
          </w:p>
        </w:tc>
        <w:tc>
          <w:tcPr>
            <w:tcW w:w="2321" w:type="dxa"/>
          </w:tcPr>
          <w:p>
            <w:pPr>
              <w:spacing w:after="156" w:afterLines="50" w:line="360" w:lineRule="auto"/>
              <w:jc w:val="center"/>
              <w:rPr>
                <w:rFonts w:ascii="宋体" w:hAnsi="宋体"/>
                <w:sz w:val="24"/>
              </w:rPr>
            </w:pPr>
            <w:r>
              <w:rPr>
                <w:rFonts w:hint="eastAsia" w:ascii="宋体" w:hAnsi="宋体"/>
                <w:sz w:val="24"/>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4"/>
          </w:tcPr>
          <w:p>
            <w:pPr>
              <w:spacing w:after="156" w:afterLines="50" w:line="360" w:lineRule="auto"/>
              <w:jc w:val="left"/>
              <w:rPr>
                <w:rFonts w:ascii="宋体" w:hAnsi="宋体"/>
                <w:szCs w:val="21"/>
              </w:rPr>
            </w:pPr>
            <w:r>
              <w:rPr>
                <w:rFonts w:hint="eastAsia" w:ascii="宋体" w:hAnsi="宋体"/>
                <w:szCs w:val="21"/>
              </w:rPr>
              <w:t>该系列标准辐射质可以在建立</w:t>
            </w:r>
            <w:r>
              <w:rPr>
                <w:rFonts w:ascii="宋体" w:hAnsi="宋体"/>
                <w:szCs w:val="21"/>
              </w:rPr>
              <w:t>WAV</w:t>
            </w:r>
            <w:r>
              <w:rPr>
                <w:rFonts w:hint="eastAsia" w:ascii="宋体" w:hAnsi="宋体"/>
                <w:szCs w:val="21"/>
              </w:rPr>
              <w:t>系列辐射质后，通过将附加过滤置于距焦点200 mm~300 mm的位置而建立。</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7 WMV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ascii="宋体" w:hAnsi="宋体"/>
                <w:sz w:val="24"/>
              </w:rPr>
              <w:t xml:space="preserve">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w:t>
            </w:r>
            <w:r>
              <w:rPr>
                <w:rFonts w:ascii="宋体" w:hAnsi="宋体"/>
                <w:sz w:val="24"/>
              </w:rPr>
              <w:t>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ascii="宋体" w:hAnsi="宋体"/>
                <w:sz w:val="24"/>
              </w:rPr>
              <w:t xml:space="preserve">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ascii="宋体" w:hAnsi="宋体"/>
                <w:sz w:val="24"/>
              </w:rPr>
              <w:t xml:space="preserve">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WMV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该系列标准辐射质的阳极靶为钨靶，X射线系统总过滤为0.06 mm的钼。半值层误差应在±0.02范围内。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8</w:t>
      </w:r>
      <w:r>
        <w:rPr>
          <w:rFonts w:hint="eastAsia" w:ascii="黑体" w:eastAsia="黑体"/>
          <w:sz w:val="24"/>
        </w:rPr>
        <w:t xml:space="preserve"> </w:t>
      </w:r>
      <w:r>
        <w:rPr>
          <w:rFonts w:ascii="黑体" w:eastAsia="黑体"/>
          <w:sz w:val="24"/>
        </w:rPr>
        <w:t>WMH</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96"/>
        <w:gridCol w:w="2284"/>
        <w:gridCol w:w="2173"/>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hint="eastAsia" w:ascii="宋体" w:hAnsi="宋体"/>
                <w:sz w:val="24"/>
              </w:rPr>
              <w:t>辐射质</w:t>
            </w:r>
          </w:p>
        </w:tc>
        <w:tc>
          <w:tcPr>
            <w:tcW w:w="2284" w:type="dxa"/>
          </w:tcPr>
          <w:p>
            <w:pPr>
              <w:spacing w:after="156" w:afterLines="50" w:line="360" w:lineRule="auto"/>
              <w:jc w:val="center"/>
              <w:rPr>
                <w:rFonts w:ascii="宋体" w:hAnsi="宋体"/>
                <w:sz w:val="24"/>
              </w:rPr>
            </w:pPr>
            <w:r>
              <w:rPr>
                <w:rFonts w:hint="eastAsia" w:ascii="宋体" w:hAnsi="宋体"/>
                <w:sz w:val="24"/>
              </w:rPr>
              <w:t>管电压/kV</w:t>
            </w:r>
          </w:p>
        </w:tc>
        <w:tc>
          <w:tcPr>
            <w:tcW w:w="2173" w:type="dxa"/>
          </w:tcPr>
          <w:p>
            <w:pPr>
              <w:spacing w:after="156" w:afterLines="50" w:line="360" w:lineRule="auto"/>
              <w:jc w:val="center"/>
              <w:rPr>
                <w:rFonts w:ascii="宋体" w:hAnsi="宋体"/>
                <w:sz w:val="24"/>
              </w:rPr>
            </w:pPr>
            <w:r>
              <w:rPr>
                <w:rFonts w:hint="eastAsia" w:ascii="宋体" w:hAnsi="宋体"/>
                <w:sz w:val="24"/>
              </w:rPr>
              <w:t>附加过滤/mm Al</w:t>
            </w:r>
          </w:p>
        </w:tc>
        <w:tc>
          <w:tcPr>
            <w:tcW w:w="2321"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 20</w:t>
            </w:r>
          </w:p>
        </w:tc>
        <w:tc>
          <w:tcPr>
            <w:tcW w:w="2284" w:type="dxa"/>
          </w:tcPr>
          <w:p>
            <w:pPr>
              <w:spacing w:after="156" w:afterLines="50" w:line="360" w:lineRule="auto"/>
              <w:jc w:val="center"/>
              <w:rPr>
                <w:rFonts w:ascii="宋体" w:hAnsi="宋体"/>
                <w:sz w:val="24"/>
              </w:rPr>
            </w:pPr>
            <w:r>
              <w:rPr>
                <w:rFonts w:ascii="宋体" w:hAnsi="宋体"/>
                <w:sz w:val="24"/>
              </w:rPr>
              <w:t>20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 25</w:t>
            </w:r>
          </w:p>
        </w:tc>
        <w:tc>
          <w:tcPr>
            <w:tcW w:w="2284" w:type="dxa"/>
          </w:tcPr>
          <w:p>
            <w:pPr>
              <w:spacing w:after="156" w:afterLines="50" w:line="360" w:lineRule="auto"/>
              <w:jc w:val="center"/>
              <w:rPr>
                <w:rFonts w:ascii="宋体" w:hAnsi="宋体"/>
                <w:sz w:val="24"/>
              </w:rPr>
            </w:pPr>
            <w:r>
              <w:rPr>
                <w:rFonts w:hint="eastAsia" w:ascii="宋体" w:hAnsi="宋体"/>
                <w:sz w:val="24"/>
              </w:rPr>
              <w:t>25</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 28</w:t>
            </w:r>
          </w:p>
        </w:tc>
        <w:tc>
          <w:tcPr>
            <w:tcW w:w="2284" w:type="dxa"/>
          </w:tcPr>
          <w:p>
            <w:pPr>
              <w:spacing w:after="156" w:afterLines="50" w:line="360" w:lineRule="auto"/>
              <w:jc w:val="center"/>
              <w:rPr>
                <w:rFonts w:ascii="宋体" w:hAnsi="宋体"/>
                <w:sz w:val="24"/>
              </w:rPr>
            </w:pPr>
            <w:r>
              <w:rPr>
                <w:rFonts w:hint="eastAsia" w:ascii="宋体" w:hAnsi="宋体"/>
                <w:sz w:val="24"/>
              </w:rPr>
              <w:t>28</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 30</w:t>
            </w:r>
          </w:p>
        </w:tc>
        <w:tc>
          <w:tcPr>
            <w:tcW w:w="2284" w:type="dxa"/>
          </w:tcPr>
          <w:p>
            <w:pPr>
              <w:spacing w:after="156" w:afterLines="50" w:line="360" w:lineRule="auto"/>
              <w:jc w:val="center"/>
              <w:rPr>
                <w:rFonts w:ascii="宋体" w:hAnsi="宋体"/>
                <w:sz w:val="24"/>
              </w:rPr>
            </w:pPr>
            <w:r>
              <w:rPr>
                <w:rFonts w:hint="eastAsia" w:ascii="宋体" w:hAnsi="宋体"/>
                <w:sz w:val="24"/>
              </w:rPr>
              <w:t>30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w:t>
            </w:r>
            <w:r>
              <w:rPr>
                <w:rFonts w:hint="eastAsia" w:ascii="宋体" w:hAnsi="宋体"/>
                <w:sz w:val="24"/>
              </w:rPr>
              <w:t xml:space="preserve"> 35</w:t>
            </w:r>
          </w:p>
        </w:tc>
        <w:tc>
          <w:tcPr>
            <w:tcW w:w="2284" w:type="dxa"/>
          </w:tcPr>
          <w:p>
            <w:pPr>
              <w:spacing w:after="156" w:afterLines="50" w:line="360" w:lineRule="auto"/>
              <w:jc w:val="center"/>
              <w:rPr>
                <w:rFonts w:ascii="宋体" w:hAnsi="宋体"/>
                <w:sz w:val="24"/>
              </w:rPr>
            </w:pPr>
            <w:r>
              <w:rPr>
                <w:rFonts w:hint="eastAsia" w:ascii="宋体" w:hAnsi="宋体"/>
                <w:sz w:val="24"/>
              </w:rPr>
              <w:t>35</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6" w:type="dxa"/>
          </w:tcPr>
          <w:p>
            <w:pPr>
              <w:spacing w:after="156" w:afterLines="50" w:line="360" w:lineRule="auto"/>
              <w:jc w:val="center"/>
              <w:rPr>
                <w:rFonts w:ascii="宋体" w:hAnsi="宋体"/>
                <w:sz w:val="24"/>
              </w:rPr>
            </w:pPr>
            <w:r>
              <w:rPr>
                <w:rFonts w:ascii="宋体" w:hAnsi="宋体"/>
                <w:sz w:val="24"/>
              </w:rPr>
              <w:t>WMH</w:t>
            </w:r>
            <w:r>
              <w:rPr>
                <w:rFonts w:hint="eastAsia" w:ascii="宋体" w:hAnsi="宋体"/>
                <w:sz w:val="24"/>
              </w:rPr>
              <w:t xml:space="preserve"> 40</w:t>
            </w:r>
          </w:p>
        </w:tc>
        <w:tc>
          <w:tcPr>
            <w:tcW w:w="2284" w:type="dxa"/>
          </w:tcPr>
          <w:p>
            <w:pPr>
              <w:spacing w:after="156" w:afterLines="50" w:line="360" w:lineRule="auto"/>
              <w:jc w:val="center"/>
              <w:rPr>
                <w:rFonts w:ascii="宋体" w:hAnsi="宋体"/>
                <w:sz w:val="24"/>
              </w:rPr>
            </w:pPr>
            <w:r>
              <w:rPr>
                <w:rFonts w:hint="eastAsia" w:ascii="宋体" w:hAnsi="宋体"/>
                <w:sz w:val="24"/>
              </w:rPr>
              <w:t>40</w:t>
            </w:r>
          </w:p>
        </w:tc>
        <w:tc>
          <w:tcPr>
            <w:tcW w:w="2173" w:type="dxa"/>
          </w:tcPr>
          <w:p>
            <w:pPr>
              <w:spacing w:after="156" w:afterLines="50" w:line="360" w:lineRule="auto"/>
              <w:jc w:val="center"/>
              <w:rPr>
                <w:rFonts w:ascii="宋体" w:hAnsi="宋体"/>
                <w:sz w:val="24"/>
              </w:rPr>
            </w:pPr>
            <w:r>
              <w:rPr>
                <w:rFonts w:hint="eastAsia" w:ascii="宋体" w:hAnsi="宋体"/>
                <w:sz w:val="24"/>
              </w:rPr>
              <w:t>2</w:t>
            </w:r>
            <w:r>
              <w:rPr>
                <w:rFonts w:ascii="宋体" w:hAnsi="宋体"/>
                <w:sz w:val="24"/>
              </w:rPr>
              <w:t>.0</w:t>
            </w:r>
          </w:p>
        </w:tc>
        <w:tc>
          <w:tcPr>
            <w:tcW w:w="2321" w:type="dxa"/>
          </w:tcPr>
          <w:p>
            <w:pPr>
              <w:spacing w:after="156" w:afterLines="50" w:line="360" w:lineRule="auto"/>
              <w:jc w:val="center"/>
              <w:rPr>
                <w:rFonts w:ascii="宋体" w:hAnsi="宋体"/>
                <w:sz w:val="24"/>
              </w:rPr>
            </w:pPr>
            <w:r>
              <w:rPr>
                <w:rFonts w:hint="eastAsia" w:ascii="宋体" w:hAnsi="宋体"/>
                <w:sz w:val="24"/>
              </w:rP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4"/>
          </w:tcPr>
          <w:p>
            <w:pPr>
              <w:spacing w:after="156" w:afterLines="50" w:line="360" w:lineRule="auto"/>
              <w:jc w:val="left"/>
              <w:rPr>
                <w:rFonts w:ascii="宋体" w:hAnsi="宋体"/>
                <w:szCs w:val="21"/>
              </w:rPr>
            </w:pPr>
            <w:r>
              <w:rPr>
                <w:rFonts w:hint="eastAsia" w:ascii="宋体" w:hAnsi="宋体"/>
                <w:szCs w:val="21"/>
              </w:rPr>
              <w:t>该系列标准辐射质可以在建立</w:t>
            </w:r>
            <w:r>
              <w:rPr>
                <w:rFonts w:ascii="宋体" w:hAnsi="宋体"/>
                <w:szCs w:val="21"/>
              </w:rPr>
              <w:t>WMV</w:t>
            </w:r>
            <w:r>
              <w:rPr>
                <w:rFonts w:hint="eastAsia" w:ascii="宋体" w:hAnsi="宋体"/>
                <w:szCs w:val="21"/>
              </w:rPr>
              <w:t>系列辐射质后，通过将附加过滤置于距焦点200 mm~300 mm的位置而建立。</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7 MAV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ascii="宋体" w:hAnsi="宋体"/>
                <w:sz w:val="24"/>
              </w:rPr>
              <w:t xml:space="preserve">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w:t>
            </w:r>
            <w:r>
              <w:rPr>
                <w:rFonts w:ascii="宋体" w:hAnsi="宋体"/>
                <w:sz w:val="24"/>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ascii="宋体" w:hAnsi="宋体"/>
                <w:sz w:val="24"/>
              </w:rPr>
              <w:t xml:space="preserve">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ascii="宋体" w:hAnsi="宋体"/>
                <w:sz w:val="24"/>
              </w:rPr>
              <w:t xml:space="preserve">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黑体" w:eastAsia="黑体"/>
                <w:sz w:val="24"/>
              </w:rPr>
              <w:t>MAV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该系列标准辐射质的阳极靶为钨靶，X射线系统总过滤为</w:t>
            </w:r>
            <w:r>
              <w:rPr>
                <w:rFonts w:ascii="宋体" w:hAnsi="宋体"/>
                <w:szCs w:val="21"/>
              </w:rPr>
              <w:t>1</w:t>
            </w:r>
            <w:r>
              <w:rPr>
                <w:rFonts w:hint="eastAsia" w:ascii="宋体" w:hAnsi="宋体"/>
                <w:szCs w:val="21"/>
              </w:rPr>
              <w:t xml:space="preserve"> mm的铝。半值层误差应在±0.02范围内。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8</w:t>
      </w:r>
      <w:r>
        <w:rPr>
          <w:rFonts w:hint="eastAsia" w:ascii="黑体" w:eastAsia="黑体"/>
          <w:sz w:val="24"/>
        </w:rPr>
        <w:t xml:space="preserve"> </w:t>
      </w:r>
      <w:r>
        <w:rPr>
          <w:rFonts w:ascii="黑体" w:eastAsia="黑体"/>
          <w:sz w:val="24"/>
        </w:rPr>
        <w:t>MRV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23</w:t>
            </w:r>
          </w:p>
        </w:tc>
        <w:tc>
          <w:tcPr>
            <w:tcW w:w="3058" w:type="dxa"/>
          </w:tcPr>
          <w:p>
            <w:pPr>
              <w:spacing w:after="156" w:afterLines="50" w:line="360" w:lineRule="auto"/>
              <w:jc w:val="center"/>
              <w:rPr>
                <w:rFonts w:ascii="宋体" w:hAnsi="宋体"/>
                <w:sz w:val="24"/>
              </w:rPr>
            </w:pPr>
            <w:r>
              <w:rPr>
                <w:rFonts w:hint="eastAsia" w:ascii="宋体" w:hAnsi="宋体"/>
                <w:sz w:val="24"/>
              </w:rPr>
              <w:t>23</w:t>
            </w:r>
          </w:p>
        </w:tc>
        <w:tc>
          <w:tcPr>
            <w:tcW w:w="3058" w:type="dxa"/>
          </w:tcPr>
          <w:p>
            <w:pPr>
              <w:spacing w:after="156" w:afterLines="50" w:line="360" w:lineRule="auto"/>
              <w:jc w:val="center"/>
              <w:rPr>
                <w:rFonts w:ascii="宋体" w:hAnsi="宋体"/>
                <w:sz w:val="24"/>
              </w:rPr>
            </w:pPr>
            <w:r>
              <w:rPr>
                <w:rFonts w:hint="eastAsia" w:ascii="宋体" w:hAnsi="宋体"/>
                <w:sz w:val="24"/>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该系列标准辐射质的阳极靶为钼靶，X射线系统总过滤为</w:t>
            </w:r>
            <w:r>
              <w:rPr>
                <w:rFonts w:ascii="宋体" w:hAnsi="宋体"/>
                <w:szCs w:val="21"/>
              </w:rPr>
              <w:t>0.025</w:t>
            </w:r>
            <w:r>
              <w:rPr>
                <w:rFonts w:hint="eastAsia" w:ascii="宋体" w:hAnsi="宋体"/>
                <w:szCs w:val="21"/>
              </w:rPr>
              <w:t xml:space="preserve"> mm的铑。半值层误差应在±0.02范围内。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8</w:t>
      </w:r>
      <w:r>
        <w:rPr>
          <w:rFonts w:hint="eastAsia" w:ascii="黑体" w:eastAsia="黑体"/>
          <w:sz w:val="24"/>
        </w:rPr>
        <w:t xml:space="preserve"> </w:t>
      </w:r>
      <w:r>
        <w:rPr>
          <w:rFonts w:ascii="黑体" w:eastAsia="黑体"/>
          <w:sz w:val="24"/>
        </w:rPr>
        <w:t>MRV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23</w:t>
            </w:r>
          </w:p>
        </w:tc>
        <w:tc>
          <w:tcPr>
            <w:tcW w:w="3058" w:type="dxa"/>
          </w:tcPr>
          <w:p>
            <w:pPr>
              <w:spacing w:after="156" w:afterLines="50" w:line="360" w:lineRule="auto"/>
              <w:jc w:val="center"/>
              <w:rPr>
                <w:rFonts w:ascii="宋体" w:hAnsi="宋体"/>
                <w:sz w:val="24"/>
              </w:rPr>
            </w:pPr>
            <w:r>
              <w:rPr>
                <w:rFonts w:hint="eastAsia" w:ascii="宋体" w:hAnsi="宋体"/>
                <w:sz w:val="24"/>
              </w:rPr>
              <w:t>23</w:t>
            </w:r>
          </w:p>
        </w:tc>
        <w:tc>
          <w:tcPr>
            <w:tcW w:w="3058" w:type="dxa"/>
          </w:tcPr>
          <w:p>
            <w:pPr>
              <w:spacing w:after="156" w:afterLines="50" w:line="360" w:lineRule="auto"/>
              <w:jc w:val="center"/>
              <w:rPr>
                <w:rFonts w:ascii="宋体" w:hAnsi="宋体"/>
                <w:sz w:val="24"/>
              </w:rPr>
            </w:pPr>
            <w:r>
              <w:rPr>
                <w:rFonts w:hint="eastAsia" w:ascii="宋体" w:hAnsi="宋体"/>
                <w:sz w:val="24"/>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MRV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该系列标准辐射质的阳极靶为钼靶，X射线系统总过滤为</w:t>
            </w:r>
            <w:r>
              <w:rPr>
                <w:rFonts w:ascii="宋体" w:hAnsi="宋体"/>
                <w:szCs w:val="21"/>
              </w:rPr>
              <w:t>0.025</w:t>
            </w:r>
            <w:r>
              <w:rPr>
                <w:rFonts w:hint="eastAsia" w:ascii="宋体" w:hAnsi="宋体"/>
                <w:szCs w:val="21"/>
              </w:rPr>
              <w:t xml:space="preserve"> mm的铑。半值层误差应在±0.02范围内。</w:t>
            </w:r>
          </w:p>
        </w:tc>
      </w:tr>
    </w:tbl>
    <w:p>
      <w:pPr>
        <w:spacing w:after="156" w:afterLines="50" w:line="360" w:lineRule="auto"/>
        <w:jc w:val="center"/>
        <w:rPr>
          <w:rFonts w:ascii="黑体" w:eastAsia="黑体"/>
          <w:sz w:val="24"/>
        </w:rPr>
      </w:pPr>
    </w:p>
    <w:p>
      <w:pPr>
        <w:spacing w:after="156" w:afterLines="50" w:line="360" w:lineRule="auto"/>
        <w:jc w:val="center"/>
        <w:rPr>
          <w:rFonts w:ascii="黑体" w:eastAsia="黑体"/>
          <w:sz w:val="24"/>
        </w:rPr>
      </w:pPr>
      <w:r>
        <w:rPr>
          <w:rFonts w:hint="eastAsia" w:ascii="黑体" w:eastAsia="黑体"/>
          <w:sz w:val="24"/>
        </w:rPr>
        <w:t>表A.</w:t>
      </w:r>
      <w:r>
        <w:rPr>
          <w:rFonts w:ascii="黑体" w:eastAsia="黑体"/>
          <w:sz w:val="24"/>
        </w:rPr>
        <w:t>8</w:t>
      </w:r>
      <w:r>
        <w:rPr>
          <w:rFonts w:hint="eastAsia" w:ascii="黑体" w:eastAsia="黑体"/>
          <w:sz w:val="24"/>
        </w:rPr>
        <w:t xml:space="preserve"> </w:t>
      </w:r>
      <w:r>
        <w:rPr>
          <w:rFonts w:ascii="黑体" w:eastAsia="黑体"/>
          <w:sz w:val="24"/>
        </w:rPr>
        <w:t>WRV</w:t>
      </w:r>
      <w:r>
        <w:rPr>
          <w:rFonts w:hint="eastAsia" w:ascii="黑体" w:eastAsia="黑体"/>
          <w:sz w:val="24"/>
        </w:rPr>
        <w:t>系列标准辐射质</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8"/>
        <w:gridCol w:w="3058"/>
        <w:gridCol w:w="3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hint="eastAsia" w:ascii="宋体" w:hAnsi="宋体"/>
                <w:sz w:val="24"/>
              </w:rPr>
              <w:t>辐射质</w:t>
            </w:r>
          </w:p>
        </w:tc>
        <w:tc>
          <w:tcPr>
            <w:tcW w:w="3058" w:type="dxa"/>
          </w:tcPr>
          <w:p>
            <w:pPr>
              <w:spacing w:after="156" w:afterLines="50" w:line="360" w:lineRule="auto"/>
              <w:jc w:val="center"/>
              <w:rPr>
                <w:rFonts w:ascii="宋体" w:hAnsi="宋体"/>
                <w:sz w:val="24"/>
              </w:rPr>
            </w:pPr>
            <w:r>
              <w:rPr>
                <w:rFonts w:hint="eastAsia" w:ascii="宋体" w:hAnsi="宋体"/>
                <w:sz w:val="24"/>
              </w:rPr>
              <w:t>管电压/kV</w:t>
            </w:r>
          </w:p>
        </w:tc>
        <w:tc>
          <w:tcPr>
            <w:tcW w:w="3058" w:type="dxa"/>
          </w:tcPr>
          <w:p>
            <w:pPr>
              <w:spacing w:after="156" w:afterLines="50" w:line="360" w:lineRule="auto"/>
              <w:jc w:val="center"/>
              <w:rPr>
                <w:rFonts w:ascii="宋体" w:hAnsi="宋体"/>
                <w:sz w:val="24"/>
              </w:rPr>
            </w:pPr>
            <w:r>
              <w:rPr>
                <w:rFonts w:hint="eastAsia" w:ascii="宋体" w:hAnsi="宋体"/>
                <w:sz w:val="24"/>
              </w:rPr>
              <w:t>第一半值层/mm 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 20</w:t>
            </w:r>
          </w:p>
        </w:tc>
        <w:tc>
          <w:tcPr>
            <w:tcW w:w="3058" w:type="dxa"/>
          </w:tcPr>
          <w:p>
            <w:pPr>
              <w:spacing w:after="156" w:afterLines="50" w:line="360" w:lineRule="auto"/>
              <w:jc w:val="center"/>
              <w:rPr>
                <w:rFonts w:ascii="宋体" w:hAnsi="宋体"/>
                <w:sz w:val="24"/>
              </w:rPr>
            </w:pPr>
            <w:r>
              <w:rPr>
                <w:rFonts w:ascii="宋体" w:hAnsi="宋体"/>
                <w:sz w:val="24"/>
              </w:rPr>
              <w:t>20</w:t>
            </w:r>
          </w:p>
        </w:tc>
        <w:tc>
          <w:tcPr>
            <w:tcW w:w="3058" w:type="dxa"/>
          </w:tcPr>
          <w:p>
            <w:pPr>
              <w:spacing w:after="156" w:afterLines="50" w:line="360" w:lineRule="auto"/>
              <w:jc w:val="center"/>
              <w:rPr>
                <w:rFonts w:ascii="宋体" w:hAnsi="宋体"/>
                <w:sz w:val="24"/>
              </w:rPr>
            </w:pPr>
            <w:r>
              <w:rPr>
                <w:rFonts w:hint="eastAsia" w:ascii="宋体" w:hAnsi="宋体"/>
                <w:sz w:val="24"/>
              </w:rPr>
              <w:t>0.</w:t>
            </w:r>
            <w:r>
              <w:rPr>
                <w:rFonts w:ascii="宋体" w:hAnsi="宋体"/>
                <w:sz w:val="24"/>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 23</w:t>
            </w:r>
          </w:p>
        </w:tc>
        <w:tc>
          <w:tcPr>
            <w:tcW w:w="3058" w:type="dxa"/>
          </w:tcPr>
          <w:p>
            <w:pPr>
              <w:spacing w:after="156" w:afterLines="50" w:line="360" w:lineRule="auto"/>
              <w:jc w:val="center"/>
              <w:rPr>
                <w:rFonts w:ascii="宋体" w:hAnsi="宋体"/>
                <w:sz w:val="24"/>
              </w:rPr>
            </w:pPr>
            <w:r>
              <w:rPr>
                <w:rFonts w:hint="eastAsia" w:ascii="宋体" w:hAnsi="宋体"/>
                <w:sz w:val="24"/>
              </w:rPr>
              <w:t>23</w:t>
            </w:r>
          </w:p>
        </w:tc>
        <w:tc>
          <w:tcPr>
            <w:tcW w:w="3058" w:type="dxa"/>
          </w:tcPr>
          <w:p>
            <w:pPr>
              <w:spacing w:after="156" w:afterLines="50" w:line="360" w:lineRule="auto"/>
              <w:jc w:val="center"/>
              <w:rPr>
                <w:rFonts w:ascii="宋体" w:hAnsi="宋体"/>
                <w:sz w:val="24"/>
              </w:rPr>
            </w:pPr>
            <w:r>
              <w:rPr>
                <w:rFonts w:hint="eastAsia" w:ascii="宋体" w:hAnsi="宋体"/>
                <w:sz w:val="24"/>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 25</w:t>
            </w:r>
          </w:p>
        </w:tc>
        <w:tc>
          <w:tcPr>
            <w:tcW w:w="3058" w:type="dxa"/>
          </w:tcPr>
          <w:p>
            <w:pPr>
              <w:spacing w:after="156" w:afterLines="50" w:line="360" w:lineRule="auto"/>
              <w:jc w:val="center"/>
              <w:rPr>
                <w:rFonts w:ascii="宋体" w:hAnsi="宋体"/>
                <w:sz w:val="24"/>
              </w:rPr>
            </w:pPr>
            <w:r>
              <w:rPr>
                <w:rFonts w:hint="eastAsia" w:ascii="宋体" w:hAnsi="宋体"/>
                <w:sz w:val="24"/>
              </w:rPr>
              <w:t>25</w:t>
            </w:r>
          </w:p>
        </w:tc>
        <w:tc>
          <w:tcPr>
            <w:tcW w:w="3058" w:type="dxa"/>
          </w:tcPr>
          <w:p>
            <w:pPr>
              <w:spacing w:after="156" w:afterLines="50" w:line="360" w:lineRule="auto"/>
              <w:jc w:val="center"/>
              <w:rPr>
                <w:rFonts w:ascii="宋体" w:hAnsi="宋体"/>
                <w:sz w:val="24"/>
              </w:rPr>
            </w:pPr>
            <w:r>
              <w:rPr>
                <w:rFonts w:hint="eastAsia" w:ascii="宋体" w:hAnsi="宋体"/>
                <w:sz w:val="24"/>
              </w:rPr>
              <w:t>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 28</w:t>
            </w:r>
          </w:p>
        </w:tc>
        <w:tc>
          <w:tcPr>
            <w:tcW w:w="3058" w:type="dxa"/>
          </w:tcPr>
          <w:p>
            <w:pPr>
              <w:spacing w:after="156" w:afterLines="50" w:line="360" w:lineRule="auto"/>
              <w:jc w:val="center"/>
              <w:rPr>
                <w:rFonts w:ascii="宋体" w:hAnsi="宋体"/>
                <w:sz w:val="24"/>
              </w:rPr>
            </w:pPr>
            <w:r>
              <w:rPr>
                <w:rFonts w:hint="eastAsia" w:ascii="宋体" w:hAnsi="宋体"/>
                <w:sz w:val="24"/>
              </w:rPr>
              <w:t>28</w:t>
            </w:r>
          </w:p>
        </w:tc>
        <w:tc>
          <w:tcPr>
            <w:tcW w:w="3058" w:type="dxa"/>
          </w:tcPr>
          <w:p>
            <w:pPr>
              <w:spacing w:after="156" w:afterLines="50" w:line="360" w:lineRule="auto"/>
              <w:jc w:val="center"/>
              <w:rPr>
                <w:rFonts w:ascii="宋体" w:hAnsi="宋体"/>
                <w:sz w:val="24"/>
              </w:rPr>
            </w:pPr>
            <w:r>
              <w:rPr>
                <w:rFonts w:hint="eastAsia" w:ascii="宋体" w:hAnsi="宋体"/>
                <w:sz w:val="24"/>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w:t>
            </w:r>
            <w:r>
              <w:rPr>
                <w:rFonts w:hint="eastAsia" w:ascii="宋体" w:hAnsi="宋体"/>
                <w:sz w:val="24"/>
              </w:rPr>
              <w:t xml:space="preserve"> 30</w:t>
            </w:r>
          </w:p>
        </w:tc>
        <w:tc>
          <w:tcPr>
            <w:tcW w:w="3058" w:type="dxa"/>
          </w:tcPr>
          <w:p>
            <w:pPr>
              <w:spacing w:after="156" w:afterLines="50" w:line="360" w:lineRule="auto"/>
              <w:jc w:val="center"/>
              <w:rPr>
                <w:rFonts w:ascii="宋体" w:hAnsi="宋体"/>
                <w:sz w:val="24"/>
              </w:rPr>
            </w:pPr>
            <w:r>
              <w:rPr>
                <w:rFonts w:hint="eastAsia" w:ascii="宋体" w:hAnsi="宋体"/>
                <w:sz w:val="24"/>
              </w:rPr>
              <w:t>30</w:t>
            </w:r>
          </w:p>
        </w:tc>
        <w:tc>
          <w:tcPr>
            <w:tcW w:w="3058" w:type="dxa"/>
          </w:tcPr>
          <w:p>
            <w:pPr>
              <w:spacing w:after="156" w:afterLines="50" w:line="360" w:lineRule="auto"/>
              <w:jc w:val="center"/>
              <w:rPr>
                <w:rFonts w:ascii="宋体" w:hAnsi="宋体"/>
                <w:sz w:val="24"/>
              </w:rPr>
            </w:pPr>
            <w:r>
              <w:rPr>
                <w:rFonts w:hint="eastAsia" w:ascii="宋体" w:hAnsi="宋体"/>
                <w:sz w:val="24"/>
              </w:rPr>
              <w:t>0.52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w:t>
            </w:r>
            <w:r>
              <w:rPr>
                <w:rFonts w:hint="eastAsia" w:ascii="宋体" w:hAnsi="宋体"/>
                <w:sz w:val="24"/>
              </w:rPr>
              <w:t xml:space="preserve"> 35</w:t>
            </w:r>
          </w:p>
        </w:tc>
        <w:tc>
          <w:tcPr>
            <w:tcW w:w="3058" w:type="dxa"/>
          </w:tcPr>
          <w:p>
            <w:pPr>
              <w:spacing w:after="156" w:afterLines="50" w:line="360" w:lineRule="auto"/>
              <w:jc w:val="center"/>
              <w:rPr>
                <w:rFonts w:ascii="宋体" w:hAnsi="宋体"/>
                <w:sz w:val="24"/>
              </w:rPr>
            </w:pPr>
            <w:r>
              <w:rPr>
                <w:rFonts w:hint="eastAsia" w:ascii="宋体" w:hAnsi="宋体"/>
                <w:sz w:val="24"/>
              </w:rPr>
              <w:t>35</w:t>
            </w:r>
          </w:p>
        </w:tc>
        <w:tc>
          <w:tcPr>
            <w:tcW w:w="3058" w:type="dxa"/>
          </w:tcPr>
          <w:p>
            <w:pPr>
              <w:spacing w:after="156" w:afterLines="50" w:line="360" w:lineRule="auto"/>
              <w:jc w:val="center"/>
              <w:rPr>
                <w:rFonts w:ascii="宋体" w:hAnsi="宋体"/>
                <w:sz w:val="24"/>
              </w:rPr>
            </w:pPr>
            <w:r>
              <w:rPr>
                <w:rFonts w:hint="eastAsia" w:ascii="宋体" w:hAnsi="宋体"/>
                <w:sz w:val="24"/>
              </w:rPr>
              <w:t>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8" w:type="dxa"/>
          </w:tcPr>
          <w:p>
            <w:pPr>
              <w:spacing w:after="156" w:afterLines="50" w:line="360" w:lineRule="auto"/>
              <w:jc w:val="center"/>
              <w:rPr>
                <w:rFonts w:ascii="宋体" w:hAnsi="宋体"/>
                <w:sz w:val="24"/>
              </w:rPr>
            </w:pPr>
            <w:r>
              <w:rPr>
                <w:rFonts w:ascii="宋体" w:hAnsi="宋体"/>
                <w:sz w:val="24"/>
              </w:rPr>
              <w:t>WRV</w:t>
            </w:r>
            <w:r>
              <w:rPr>
                <w:rFonts w:hint="eastAsia" w:ascii="宋体" w:hAnsi="宋体"/>
                <w:sz w:val="24"/>
              </w:rPr>
              <w:t xml:space="preserve"> 40</w:t>
            </w:r>
          </w:p>
        </w:tc>
        <w:tc>
          <w:tcPr>
            <w:tcW w:w="3058" w:type="dxa"/>
          </w:tcPr>
          <w:p>
            <w:pPr>
              <w:spacing w:after="156" w:afterLines="50" w:line="360" w:lineRule="auto"/>
              <w:jc w:val="center"/>
              <w:rPr>
                <w:rFonts w:ascii="宋体" w:hAnsi="宋体"/>
                <w:sz w:val="24"/>
              </w:rPr>
            </w:pPr>
            <w:r>
              <w:rPr>
                <w:rFonts w:hint="eastAsia" w:ascii="宋体" w:hAnsi="宋体"/>
                <w:sz w:val="24"/>
              </w:rPr>
              <w:t>40</w:t>
            </w:r>
          </w:p>
        </w:tc>
        <w:tc>
          <w:tcPr>
            <w:tcW w:w="3058" w:type="dxa"/>
          </w:tcPr>
          <w:p>
            <w:pPr>
              <w:spacing w:after="156" w:afterLines="50" w:line="360" w:lineRule="auto"/>
              <w:jc w:val="center"/>
              <w:rPr>
                <w:rFonts w:ascii="宋体" w:hAnsi="宋体"/>
                <w:sz w:val="24"/>
              </w:rPr>
            </w:pPr>
            <w:r>
              <w:rPr>
                <w:rFonts w:hint="eastAsia" w:ascii="宋体" w:hAnsi="宋体"/>
                <w:sz w:val="24"/>
              </w:rPr>
              <w:t>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4" w:type="dxa"/>
            <w:gridSpan w:val="3"/>
          </w:tcPr>
          <w:p>
            <w:pPr>
              <w:spacing w:after="156" w:afterLines="50" w:line="360" w:lineRule="auto"/>
              <w:jc w:val="left"/>
              <w:rPr>
                <w:rFonts w:ascii="宋体" w:hAnsi="宋体"/>
                <w:szCs w:val="21"/>
              </w:rPr>
            </w:pPr>
            <w:r>
              <w:rPr>
                <w:rFonts w:hint="eastAsia" w:ascii="宋体" w:hAnsi="宋体"/>
                <w:szCs w:val="21"/>
              </w:rPr>
              <w:t>该系列标准辐射质的阳极靶为钨靶，X射线系统总过滤为</w:t>
            </w:r>
            <w:r>
              <w:rPr>
                <w:rFonts w:ascii="宋体" w:hAnsi="宋体"/>
                <w:szCs w:val="21"/>
              </w:rPr>
              <w:t>0.05</w:t>
            </w:r>
            <w:r>
              <w:rPr>
                <w:rFonts w:hint="eastAsia" w:ascii="宋体" w:hAnsi="宋体"/>
                <w:szCs w:val="21"/>
              </w:rPr>
              <w:t xml:space="preserve"> mm的铑。半值层误差应在±0.02范围内。</w:t>
            </w:r>
          </w:p>
        </w:tc>
      </w:tr>
    </w:tbl>
    <w:p>
      <w:pPr>
        <w:pStyle w:val="6"/>
        <w:spacing w:before="0" w:after="0" w:line="240" w:lineRule="auto"/>
        <w:rPr>
          <w:rFonts w:ascii="黑体" w:hAnsi="黑体" w:eastAsia="黑体"/>
          <w:b w:val="0"/>
          <w:bCs w:val="0"/>
        </w:rPr>
      </w:pPr>
      <w:bookmarkStart w:id="53" w:name="_Toc490329532"/>
      <w:r>
        <w:rPr>
          <w:rFonts w:hint="eastAsia" w:ascii="黑体" w:hAnsi="黑体" w:eastAsia="黑体"/>
          <w:b w:val="0"/>
          <w:bCs w:val="0"/>
        </w:rPr>
        <w:t>附录B</w:t>
      </w:r>
      <w:bookmarkEnd w:id="53"/>
    </w:p>
    <w:p>
      <w:pPr>
        <w:jc w:val="center"/>
        <w:rPr>
          <w:rFonts w:ascii="黑体" w:eastAsia="黑体"/>
          <w:sz w:val="28"/>
          <w:szCs w:val="28"/>
        </w:rPr>
      </w:pPr>
      <w:r>
        <w:rPr>
          <w:rFonts w:hint="eastAsia" w:ascii="黑体" w:eastAsia="黑体"/>
          <w:sz w:val="28"/>
          <w:szCs w:val="28"/>
        </w:rPr>
        <w:t>剂量计校准记录推荐格式</w:t>
      </w:r>
    </w:p>
    <w:tbl>
      <w:tblPr>
        <w:tblStyle w:val="26"/>
        <w:tblpPr w:leftFromText="180" w:rightFromText="180" w:vertAnchor="page" w:horzAnchor="margin" w:tblpXSpec="center" w:tblpY="3166"/>
        <w:tblW w:w="10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2" w:hRule="atLeast"/>
        </w:trPr>
        <w:tc>
          <w:tcPr>
            <w:tcW w:w="10030" w:type="dxa"/>
            <w:tcBorders>
              <w:top w:val="single" w:color="auto" w:sz="6" w:space="0"/>
              <w:left w:val="single" w:color="auto" w:sz="6" w:space="0"/>
              <w:bottom w:val="single" w:color="auto" w:sz="6" w:space="0"/>
              <w:right w:val="single" w:color="auto" w:sz="6" w:space="0"/>
            </w:tcBorders>
          </w:tcPr>
          <w:p>
            <w:pPr>
              <w:snapToGrid w:val="0"/>
              <w:spacing w:before="60" w:line="360" w:lineRule="exact"/>
              <w:ind w:right="-315" w:rightChars="-150" w:firstLine="210" w:firstLineChars="100"/>
              <w:rPr>
                <w:rFonts w:ascii="宋体" w:hAnsi="宋体"/>
                <w:color w:val="000000"/>
                <w:szCs w:val="21"/>
              </w:rPr>
            </w:pPr>
            <w:r>
              <w:rPr>
                <w:rFonts w:hint="eastAsia" w:ascii="宋体" w:hAnsi="宋体"/>
                <w:color w:val="000000"/>
                <w:szCs w:val="21"/>
              </w:rPr>
              <w:t>客户名称:                                      仪器名称:</w:t>
            </w:r>
            <w:r>
              <w:rPr>
                <w:rFonts w:ascii="宋体" w:hAnsi="宋体"/>
                <w:color w:val="000000"/>
                <w:szCs w:val="21"/>
              </w:rPr>
              <w:t xml:space="preserve">   </w:t>
            </w:r>
            <w:r>
              <w:rPr>
                <w:rFonts w:hint="eastAsia" w:ascii="宋体" w:hAnsi="宋体"/>
                <w:color w:val="000000"/>
                <w:szCs w:val="21"/>
              </w:rPr>
              <w:t xml:space="preserve">     </w:t>
            </w:r>
          </w:p>
          <w:p>
            <w:pPr>
              <w:spacing w:line="360" w:lineRule="exact"/>
              <w:ind w:right="-315" w:rightChars="-150" w:firstLine="210" w:firstLineChars="100"/>
              <w:rPr>
                <w:rFonts w:ascii="宋体" w:hAnsi="宋体"/>
                <w:color w:val="000000"/>
                <w:szCs w:val="21"/>
              </w:rPr>
            </w:pPr>
            <w:r>
              <w:rPr>
                <w:rFonts w:hint="eastAsia" w:ascii="宋体" w:hAnsi="宋体"/>
                <w:color w:val="000000"/>
                <w:szCs w:val="21"/>
              </w:rPr>
              <w:t>型号规格:</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出厂编号:</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制造厂名:</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p>
          <w:p>
            <w:pPr>
              <w:spacing w:line="360" w:lineRule="exact"/>
              <w:ind w:left="36" w:leftChars="17" w:right="-315" w:rightChars="-150" w:firstLine="210" w:firstLineChars="100"/>
              <w:rPr>
                <w:rFonts w:ascii="宋体" w:hAnsi="宋体"/>
                <w:color w:val="000000"/>
                <w:szCs w:val="21"/>
              </w:rPr>
            </w:pPr>
            <w:r>
              <w:rPr>
                <w:rFonts w:hAnsi="宋体"/>
                <w:color w:val="000000"/>
                <w:szCs w:val="21"/>
              </w:rPr>
              <w:t>技术依据</w:t>
            </w:r>
            <w:r>
              <w:rPr>
                <w:rFonts w:hint="eastAsia" w:hAnsi="宋体"/>
                <w:color w:val="000000"/>
                <w:szCs w:val="21"/>
              </w:rPr>
              <w:t>:</w:t>
            </w:r>
            <w:r>
              <w:rPr>
                <w:color w:val="000000"/>
                <w:szCs w:val="21"/>
              </w:rPr>
              <w:t xml:space="preserve"> </w:t>
            </w:r>
            <w:r>
              <w:rPr>
                <w:color w:val="000000"/>
                <w:sz w:val="18"/>
                <w:szCs w:val="18"/>
              </w:rPr>
              <w:t xml:space="preserve">JJF </w:t>
            </w:r>
            <w:r>
              <w:rPr>
                <w:rFonts w:hint="eastAsia"/>
                <w:color w:val="000000"/>
                <w:sz w:val="18"/>
                <w:szCs w:val="18"/>
              </w:rPr>
              <w:t>xxx</w:t>
            </w:r>
            <w:r>
              <w:rPr>
                <w:color w:val="000000"/>
                <w:sz w:val="18"/>
                <w:szCs w:val="18"/>
              </w:rPr>
              <w:t xml:space="preserve"> —201X</w:t>
            </w:r>
            <w:r>
              <w:rPr>
                <w:rFonts w:hint="eastAsia" w:hAnsi="宋体"/>
                <w:color w:val="000000"/>
                <w:sz w:val="18"/>
                <w:szCs w:val="18"/>
              </w:rPr>
              <w:t>乳腺诊断X射线剂量计校准规范</w:t>
            </w:r>
            <w:r>
              <w:rPr>
                <w:rFonts w:hint="eastAsia" w:hAnsi="宋体"/>
                <w:color w:val="000000"/>
                <w:szCs w:val="21"/>
              </w:rPr>
              <w:t xml:space="preserve">    </w:t>
            </w:r>
            <w:r>
              <w:rPr>
                <w:rFonts w:hint="eastAsia" w:ascii="宋体" w:hAnsi="宋体"/>
                <w:color w:val="000000"/>
                <w:szCs w:val="21"/>
              </w:rPr>
              <w:t>校准日期:       年     月      日</w:t>
            </w:r>
          </w:p>
          <w:p>
            <w:pPr>
              <w:spacing w:line="360" w:lineRule="exact"/>
              <w:ind w:left="36" w:leftChars="17" w:right="-315" w:rightChars="-150" w:firstLine="210" w:firstLineChars="100"/>
              <w:rPr>
                <w:rFonts w:ascii="宋体" w:hAnsi="宋体"/>
                <w:color w:val="000000"/>
                <w:szCs w:val="21"/>
              </w:rPr>
            </w:pPr>
            <w:r>
              <w:rPr>
                <w:rFonts w:hint="eastAsia" w:ascii="宋体" w:hAnsi="宋体"/>
                <w:color w:val="000000"/>
                <w:szCs w:val="21"/>
              </w:rPr>
              <w:t xml:space="preserve">证书编号:                                        记录编号:                                    </w:t>
            </w:r>
          </w:p>
          <w:p>
            <w:pPr>
              <w:spacing w:after="156" w:afterLines="50" w:line="360" w:lineRule="exact"/>
              <w:ind w:left="36" w:leftChars="17" w:right="-315" w:rightChars="-150" w:firstLine="210" w:firstLineChars="100"/>
              <w:rPr>
                <w:rFonts w:ascii="宋体" w:hAnsi="宋体"/>
                <w:color w:val="000000"/>
                <w:szCs w:val="21"/>
              </w:rPr>
            </w:pPr>
            <w:r>
              <w:rPr>
                <w:rFonts w:hint="eastAsia" w:ascii="宋体" w:hAnsi="宋体"/>
                <w:color w:val="000000"/>
                <w:szCs w:val="21"/>
              </w:rPr>
              <w:t>校准地点:           环境条件:温度：</w:t>
            </w:r>
            <w:r>
              <w:rPr>
                <w:rFonts w:hint="eastAsia" w:ascii="宋体" w:hAnsi="宋体"/>
                <w:color w:val="000000"/>
                <w:w w:val="90"/>
                <w:szCs w:val="21"/>
              </w:rPr>
              <w:t xml:space="preserve"> </w:t>
            </w:r>
            <w:r>
              <w:rPr>
                <w:rFonts w:hint="eastAsia" w:ascii="宋体" w:hAnsi="宋体"/>
                <w:color w:val="000000"/>
                <w:szCs w:val="21"/>
              </w:rPr>
              <w:t xml:space="preserve">   ℃   气压：     kPa   相对湿度：  </w:t>
            </w:r>
            <w:r>
              <w:rPr>
                <w:rFonts w:hint="eastAsia" w:ascii="宋体" w:hAnsi="宋体"/>
                <w:color w:val="000000"/>
                <w:w w:val="90"/>
                <w:szCs w:val="21"/>
              </w:rPr>
              <w:t xml:space="preserve"> </w:t>
            </w:r>
            <w:r>
              <w:rPr>
                <w:rFonts w:hint="eastAsia" w:ascii="宋体" w:hAnsi="宋体"/>
                <w:color w:val="000000"/>
                <w:szCs w:val="21"/>
              </w:rPr>
              <w:t xml:space="preserve">    </w:t>
            </w:r>
            <w:r>
              <w:rPr>
                <w:rFonts w:ascii="宋体" w:hAnsi="宋体"/>
                <w:color w:val="000000"/>
                <w:szCs w:val="21"/>
              </w:rPr>
              <w:t>%</w:t>
            </w:r>
          </w:p>
          <w:tbl>
            <w:tblPr>
              <w:tblStyle w:val="26"/>
              <w:tblW w:w="94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799"/>
              <w:gridCol w:w="1280"/>
              <w:gridCol w:w="1140"/>
              <w:gridCol w:w="1520"/>
              <w:gridCol w:w="1350"/>
              <w:gridCol w:w="237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exact"/>
                <w:jc w:val="center"/>
              </w:trPr>
              <w:tc>
                <w:tcPr>
                  <w:tcW w:w="1799" w:type="dxa"/>
                  <w:tcBorders>
                    <w:top w:val="single" w:color="auto" w:sz="4" w:space="0"/>
                    <w:left w:val="single" w:color="auto" w:sz="4" w:space="0"/>
                    <w:bottom w:val="nil"/>
                  </w:tcBorders>
                  <w:vAlign w:val="center"/>
                </w:tcPr>
                <w:p>
                  <w:pPr>
                    <w:snapToGrid w:val="0"/>
                    <w:ind w:left="-105" w:leftChars="-50" w:right="-78" w:rightChars="-37"/>
                    <w:jc w:val="center"/>
                    <w:rPr>
                      <w:rFonts w:ascii="宋体" w:hAnsi="宋体"/>
                      <w:color w:val="000000"/>
                      <w:sz w:val="18"/>
                      <w:szCs w:val="18"/>
                    </w:rPr>
                  </w:pPr>
                  <w:r>
                    <w:rPr>
                      <w:rFonts w:hint="eastAsia" w:ascii="宋体" w:hAnsi="宋体"/>
                      <w:color w:val="000000"/>
                      <w:sz w:val="18"/>
                      <w:szCs w:val="18"/>
                    </w:rPr>
                    <w:t>主要标准器名称</w:t>
                  </w:r>
                </w:p>
              </w:tc>
              <w:tc>
                <w:tcPr>
                  <w:tcW w:w="1280" w:type="dxa"/>
                  <w:tcBorders>
                    <w:top w:val="single" w:color="auto" w:sz="4" w:space="0"/>
                    <w:bottom w:val="nil"/>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特征</w:t>
                  </w:r>
                </w:p>
              </w:tc>
              <w:tc>
                <w:tcPr>
                  <w:tcW w:w="1140" w:type="dxa"/>
                  <w:tcBorders>
                    <w:top w:val="single" w:color="auto" w:sz="4" w:space="0"/>
                    <w:bottom w:val="nil"/>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设备编号</w:t>
                  </w:r>
                </w:p>
              </w:tc>
              <w:tc>
                <w:tcPr>
                  <w:tcW w:w="1520" w:type="dxa"/>
                  <w:tcBorders>
                    <w:top w:val="single" w:color="auto" w:sz="4" w:space="0"/>
                    <w:bottom w:val="nil"/>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检定证书号</w:t>
                  </w:r>
                </w:p>
              </w:tc>
              <w:tc>
                <w:tcPr>
                  <w:tcW w:w="1350" w:type="dxa"/>
                  <w:tcBorders>
                    <w:top w:val="single" w:color="auto" w:sz="4" w:space="0"/>
                    <w:bottom w:val="nil"/>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有效期</w:t>
                  </w:r>
                </w:p>
              </w:tc>
              <w:tc>
                <w:tcPr>
                  <w:tcW w:w="2371" w:type="dxa"/>
                  <w:tcBorders>
                    <w:top w:val="single" w:color="auto" w:sz="4" w:space="0"/>
                    <w:bottom w:val="nil"/>
                    <w:right w:val="single" w:color="auto" w:sz="4" w:space="0"/>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使用前后状态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1" w:hRule="atLeast"/>
                <w:jc w:val="center"/>
              </w:trPr>
              <w:tc>
                <w:tcPr>
                  <w:tcW w:w="1799" w:type="dxa"/>
                  <w:tcBorders>
                    <w:top w:val="single" w:color="auto" w:sz="6" w:space="0"/>
                    <w:left w:val="single" w:color="auto" w:sz="4" w:space="0"/>
                    <w:bottom w:val="single" w:color="auto" w:sz="6" w:space="0"/>
                  </w:tcBorders>
                  <w:vAlign w:val="center"/>
                </w:tcPr>
                <w:p>
                  <w:pPr>
                    <w:snapToGrid w:val="0"/>
                    <w:ind w:left="-105" w:leftChars="-50" w:right="-105" w:rightChars="-50"/>
                    <w:jc w:val="center"/>
                    <w:rPr>
                      <w:sz w:val="18"/>
                      <w:szCs w:val="18"/>
                    </w:rPr>
                  </w:pPr>
                </w:p>
              </w:tc>
              <w:tc>
                <w:tcPr>
                  <w:tcW w:w="1280" w:type="dxa"/>
                  <w:tcBorders>
                    <w:top w:val="single" w:color="auto" w:sz="6" w:space="0"/>
                    <w:bottom w:val="single" w:color="auto" w:sz="6" w:space="0"/>
                  </w:tcBorders>
                  <w:vAlign w:val="center"/>
                </w:tcPr>
                <w:p>
                  <w:pPr>
                    <w:snapToGrid w:val="0"/>
                    <w:ind w:left="-105" w:leftChars="-50" w:right="-105" w:rightChars="-50"/>
                    <w:jc w:val="center"/>
                    <w:rPr>
                      <w:rFonts w:ascii="宋体" w:hAnsi="宋体"/>
                      <w:color w:val="000000"/>
                      <w:szCs w:val="21"/>
                    </w:rPr>
                  </w:pPr>
                </w:p>
              </w:tc>
              <w:tc>
                <w:tcPr>
                  <w:tcW w:w="1140" w:type="dxa"/>
                  <w:tcBorders>
                    <w:top w:val="single" w:color="auto" w:sz="6" w:space="0"/>
                    <w:bottom w:val="single" w:color="auto" w:sz="6" w:space="0"/>
                  </w:tcBorders>
                  <w:vAlign w:val="center"/>
                </w:tcPr>
                <w:p>
                  <w:pPr>
                    <w:snapToGrid w:val="0"/>
                    <w:ind w:left="-105" w:leftChars="-50" w:right="-105" w:rightChars="-50"/>
                    <w:jc w:val="center"/>
                    <w:rPr>
                      <w:szCs w:val="21"/>
                    </w:rPr>
                  </w:pPr>
                </w:p>
              </w:tc>
              <w:tc>
                <w:tcPr>
                  <w:tcW w:w="1520" w:type="dxa"/>
                  <w:tcBorders>
                    <w:top w:val="single" w:color="auto" w:sz="6" w:space="0"/>
                    <w:bottom w:val="single" w:color="auto" w:sz="6" w:space="0"/>
                  </w:tcBorders>
                  <w:vAlign w:val="center"/>
                </w:tcPr>
                <w:p>
                  <w:pPr>
                    <w:snapToGrid w:val="0"/>
                    <w:ind w:left="-105" w:leftChars="-50" w:right="-105" w:rightChars="-50"/>
                    <w:jc w:val="center"/>
                    <w:rPr>
                      <w:rFonts w:ascii="宋体" w:hAnsi="宋体"/>
                      <w:color w:val="000000"/>
                      <w:szCs w:val="21"/>
                    </w:rPr>
                  </w:pPr>
                </w:p>
              </w:tc>
              <w:tc>
                <w:tcPr>
                  <w:tcW w:w="1350" w:type="dxa"/>
                  <w:tcBorders>
                    <w:top w:val="single" w:color="auto" w:sz="6" w:space="0"/>
                    <w:bottom w:val="single" w:color="auto" w:sz="6" w:space="0"/>
                  </w:tcBorders>
                  <w:vAlign w:val="center"/>
                </w:tcPr>
                <w:p>
                  <w:pPr>
                    <w:snapToGrid w:val="0"/>
                    <w:ind w:left="-105" w:leftChars="-50" w:right="-105" w:rightChars="-50"/>
                    <w:jc w:val="center"/>
                    <w:rPr>
                      <w:rFonts w:ascii="宋体" w:hAnsi="宋体"/>
                      <w:szCs w:val="21"/>
                    </w:rPr>
                  </w:pPr>
                </w:p>
              </w:tc>
              <w:tc>
                <w:tcPr>
                  <w:tcW w:w="2371" w:type="dxa"/>
                  <w:tcBorders>
                    <w:top w:val="single" w:color="auto" w:sz="6" w:space="0"/>
                    <w:bottom w:val="single" w:color="auto" w:sz="6" w:space="0"/>
                    <w:right w:val="single" w:color="auto" w:sz="4" w:space="0"/>
                  </w:tcBorders>
                  <w:vAlign w:val="center"/>
                </w:tcPr>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使用前:</w:t>
                  </w:r>
                  <w:r>
                    <w:rPr>
                      <w:rFonts w:hint="eastAsia" w:ascii="宋体" w:hAnsi="宋体"/>
                      <w:color w:val="000000"/>
                      <w:sz w:val="18"/>
                      <w:szCs w:val="18"/>
                    </w:rPr>
                    <w:sym w:font="Wingdings 2" w:char="F0A3"/>
                  </w:r>
                  <w:r>
                    <w:rPr>
                      <w:rFonts w:hint="eastAsia" w:ascii="宋体" w:hAnsi="宋体"/>
                      <w:color w:val="000000"/>
                      <w:sz w:val="18"/>
                      <w:szCs w:val="18"/>
                    </w:rPr>
                    <w:t>正常/</w:t>
                  </w:r>
                  <w:r>
                    <w:rPr>
                      <w:rFonts w:hint="eastAsia" w:ascii="宋体" w:hAnsi="宋体"/>
                      <w:color w:val="000000"/>
                      <w:sz w:val="18"/>
                      <w:szCs w:val="18"/>
                    </w:rPr>
                    <w:sym w:font="Wingdings 2" w:char="F0A3"/>
                  </w:r>
                  <w:r>
                    <w:rPr>
                      <w:rFonts w:hint="eastAsia" w:ascii="宋体" w:hAnsi="宋体"/>
                      <w:color w:val="000000"/>
                      <w:sz w:val="18"/>
                      <w:szCs w:val="18"/>
                    </w:rPr>
                    <w:t>不正常</w:t>
                  </w:r>
                </w:p>
                <w:p>
                  <w:pPr>
                    <w:snapToGrid w:val="0"/>
                    <w:ind w:left="-105" w:leftChars="-50" w:right="-105" w:rightChars="-50"/>
                    <w:jc w:val="center"/>
                    <w:rPr>
                      <w:rFonts w:ascii="宋体" w:hAnsi="宋体"/>
                      <w:color w:val="000000"/>
                      <w:sz w:val="18"/>
                      <w:szCs w:val="18"/>
                    </w:rPr>
                  </w:pPr>
                  <w:r>
                    <w:rPr>
                      <w:rFonts w:hint="eastAsia" w:ascii="宋体" w:hAnsi="宋体"/>
                      <w:color w:val="000000"/>
                      <w:sz w:val="18"/>
                      <w:szCs w:val="18"/>
                    </w:rPr>
                    <w:t>使用后:</w:t>
                  </w:r>
                  <w:r>
                    <w:rPr>
                      <w:rFonts w:hint="eastAsia" w:ascii="宋体" w:hAnsi="宋体"/>
                      <w:color w:val="000000"/>
                      <w:sz w:val="18"/>
                      <w:szCs w:val="18"/>
                    </w:rPr>
                    <w:sym w:font="Wingdings 2" w:char="F0A3"/>
                  </w:r>
                  <w:r>
                    <w:rPr>
                      <w:rFonts w:hint="eastAsia" w:ascii="宋体" w:hAnsi="宋体"/>
                      <w:color w:val="000000"/>
                      <w:sz w:val="18"/>
                      <w:szCs w:val="18"/>
                    </w:rPr>
                    <w:t>正常/</w:t>
                  </w:r>
                  <w:r>
                    <w:rPr>
                      <w:rFonts w:hint="eastAsia" w:ascii="宋体" w:hAnsi="宋体"/>
                      <w:color w:val="000000"/>
                      <w:sz w:val="18"/>
                      <w:szCs w:val="18"/>
                    </w:rPr>
                    <w:sym w:font="Wingdings 2" w:char="F0A3"/>
                  </w:r>
                  <w:r>
                    <w:rPr>
                      <w:rFonts w:hint="eastAsia" w:ascii="宋体" w:hAnsi="宋体"/>
                      <w:color w:val="000000"/>
                      <w:sz w:val="18"/>
                      <w:szCs w:val="18"/>
                    </w:rPr>
                    <w:t>不正常</w:t>
                  </w:r>
                </w:p>
              </w:tc>
            </w:tr>
          </w:tbl>
          <w:p>
            <w:pPr>
              <w:spacing w:before="156" w:beforeLines="50"/>
              <w:ind w:firstLine="210" w:firstLineChars="100"/>
              <w:jc w:val="left"/>
              <w:rPr>
                <w:szCs w:val="21"/>
              </w:rPr>
            </w:pPr>
            <w:r>
              <w:rPr>
                <w:rFonts w:hint="eastAsia"/>
                <w:szCs w:val="21"/>
              </w:rPr>
              <w:t>1</w:t>
            </w:r>
            <w:r>
              <w:rPr>
                <w:szCs w:val="21"/>
              </w:rPr>
              <w:t xml:space="preserve"> </w:t>
            </w:r>
            <w:r>
              <w:rPr>
                <w:rFonts w:hint="eastAsia"/>
                <w:szCs w:val="21"/>
              </w:rPr>
              <w:t>测量重复性</w:t>
            </w:r>
          </w:p>
          <w:p>
            <w:pPr>
              <w:spacing w:line="360" w:lineRule="auto"/>
              <w:ind w:left="1046" w:leftChars="-2" w:hanging="1050" w:hangingChars="500"/>
              <w:jc w:val="left"/>
              <w:rPr>
                <w:szCs w:val="21"/>
              </w:rPr>
            </w:pPr>
            <w:r>
              <w:rPr>
                <w:rFonts w:hint="eastAsia"/>
                <w:szCs w:val="21"/>
              </w:rPr>
              <w:t>曝光</w:t>
            </w:r>
            <w:r>
              <w:rPr>
                <w:szCs w:val="21"/>
              </w:rPr>
              <w:t>条件：</w:t>
            </w:r>
            <w:r>
              <w:rPr>
                <w:rFonts w:hint="eastAsia"/>
                <w:szCs w:val="21"/>
              </w:rPr>
              <w:t>管电压        kV，管</w:t>
            </w:r>
            <w:r>
              <w:rPr>
                <w:szCs w:val="21"/>
              </w:rPr>
              <w:t>电流</w:t>
            </w:r>
            <w:r>
              <w:rPr>
                <w:rFonts w:hint="eastAsia"/>
                <w:szCs w:val="21"/>
              </w:rPr>
              <w:t xml:space="preserve">        </w:t>
            </w:r>
            <w:r>
              <w:rPr>
                <w:szCs w:val="21"/>
              </w:rPr>
              <w:t>mA</w:t>
            </w:r>
          </w:p>
          <w:tbl>
            <w:tblPr>
              <w:tblStyle w:val="26"/>
              <w:tblW w:w="9462" w:type="dxa"/>
              <w:jc w:val="center"/>
              <w:tblLayout w:type="autofit"/>
              <w:tblCellMar>
                <w:top w:w="0" w:type="dxa"/>
                <w:left w:w="108" w:type="dxa"/>
                <w:bottom w:w="0" w:type="dxa"/>
                <w:right w:w="108" w:type="dxa"/>
              </w:tblCellMar>
            </w:tblPr>
            <w:tblGrid>
              <w:gridCol w:w="1499"/>
              <w:gridCol w:w="703"/>
              <w:gridCol w:w="704"/>
              <w:gridCol w:w="704"/>
              <w:gridCol w:w="704"/>
              <w:gridCol w:w="704"/>
              <w:gridCol w:w="703"/>
              <w:gridCol w:w="704"/>
              <w:gridCol w:w="704"/>
              <w:gridCol w:w="704"/>
              <w:gridCol w:w="704"/>
              <w:gridCol w:w="925"/>
            </w:tblGrid>
            <w:tr>
              <w:tblPrEx>
                <w:tblCellMar>
                  <w:top w:w="0" w:type="dxa"/>
                  <w:left w:w="108" w:type="dxa"/>
                  <w:bottom w:w="0" w:type="dxa"/>
                  <w:right w:w="108" w:type="dxa"/>
                </w:tblCellMar>
              </w:tblPrEx>
              <w:trPr>
                <w:trHeight w:val="351" w:hRule="atLeast"/>
                <w:jc w:val="center"/>
              </w:trPr>
              <w:tc>
                <w:tcPr>
                  <w:tcW w:w="149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测量次数</w:t>
                  </w:r>
                </w:p>
              </w:tc>
              <w:tc>
                <w:tcPr>
                  <w:tcW w:w="703"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1</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2</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3</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4</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5</w:t>
                  </w:r>
                </w:p>
              </w:tc>
              <w:tc>
                <w:tcPr>
                  <w:tcW w:w="703"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6</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7</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8</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9</w:t>
                  </w:r>
                </w:p>
              </w:tc>
              <w:tc>
                <w:tcPr>
                  <w:tcW w:w="704" w:type="dxa"/>
                  <w:tcBorders>
                    <w:top w:val="single" w:color="auto" w:sz="4" w:space="0"/>
                    <w:left w:val="nil"/>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10</w:t>
                  </w:r>
                </w:p>
              </w:tc>
              <w:tc>
                <w:tcPr>
                  <w:tcW w:w="92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kern w:val="0"/>
                      <w:szCs w:val="21"/>
                    </w:rPr>
                  </w:pPr>
                  <w:r>
                    <w:rPr>
                      <w:rFonts w:hint="eastAsia"/>
                      <w:kern w:val="0"/>
                      <w:szCs w:val="21"/>
                    </w:rPr>
                    <w:t>重复性</w:t>
                  </w:r>
                </w:p>
              </w:tc>
            </w:tr>
            <w:tr>
              <w:tblPrEx>
                <w:tblCellMar>
                  <w:top w:w="0" w:type="dxa"/>
                  <w:left w:w="108" w:type="dxa"/>
                  <w:bottom w:w="0" w:type="dxa"/>
                  <w:right w:w="108" w:type="dxa"/>
                </w:tblCellMar>
              </w:tblPrEx>
              <w:trPr>
                <w:trHeight w:val="351" w:hRule="atLeast"/>
                <w:jc w:val="center"/>
              </w:trPr>
              <w:tc>
                <w:tcPr>
                  <w:tcW w:w="1499" w:type="dxa"/>
                  <w:tcBorders>
                    <w:top w:val="nil"/>
                    <w:left w:val="single" w:color="auto" w:sz="4" w:space="0"/>
                    <w:bottom w:val="single" w:color="auto" w:sz="4" w:space="0"/>
                    <w:right w:val="single" w:color="auto" w:sz="4" w:space="0"/>
                  </w:tcBorders>
                  <w:vAlign w:val="center"/>
                </w:tcPr>
                <w:p>
                  <w:pPr>
                    <w:widowControl/>
                    <w:ind w:left="-105" w:leftChars="-50" w:right="-105" w:rightChars="-50"/>
                    <w:jc w:val="center"/>
                    <w:rPr>
                      <w:kern w:val="0"/>
                      <w:szCs w:val="21"/>
                    </w:rPr>
                  </w:pPr>
                  <w:r>
                    <w:rPr>
                      <w:rFonts w:hint="eastAsia"/>
                      <w:kern w:val="0"/>
                      <w:szCs w:val="21"/>
                    </w:rPr>
                    <w:t>测量值 (kV)</w:t>
                  </w:r>
                </w:p>
              </w:tc>
              <w:tc>
                <w:tcPr>
                  <w:tcW w:w="703" w:type="dxa"/>
                  <w:tcBorders>
                    <w:top w:val="nil"/>
                    <w:left w:val="nil"/>
                    <w:bottom w:val="single" w:color="auto" w:sz="4" w:space="0"/>
                    <w:right w:val="single" w:color="auto" w:sz="4" w:space="0"/>
                  </w:tcBorders>
                  <w:vAlign w:val="center"/>
                </w:tcPr>
                <w:p>
                  <w:pPr>
                    <w:jc w:val="center"/>
                    <w:rPr>
                      <w:kern w:val="0"/>
                      <w:szCs w:val="21"/>
                    </w:rPr>
                  </w:pPr>
                </w:p>
              </w:tc>
              <w:tc>
                <w:tcPr>
                  <w:tcW w:w="704" w:type="dxa"/>
                  <w:tcBorders>
                    <w:top w:val="nil"/>
                    <w:left w:val="nil"/>
                    <w:bottom w:val="single" w:color="auto" w:sz="4" w:space="0"/>
                    <w:right w:val="single" w:color="auto" w:sz="4" w:space="0"/>
                  </w:tcBorders>
                  <w:vAlign w:val="center"/>
                </w:tcPr>
                <w:p>
                  <w:pPr>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widowControl/>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ind w:left="125"/>
                    <w:jc w:val="center"/>
                    <w:rPr>
                      <w:kern w:val="0"/>
                      <w:szCs w:val="21"/>
                    </w:rPr>
                  </w:pPr>
                </w:p>
              </w:tc>
              <w:tc>
                <w:tcPr>
                  <w:tcW w:w="704" w:type="dxa"/>
                  <w:tcBorders>
                    <w:top w:val="nil"/>
                    <w:left w:val="nil"/>
                    <w:bottom w:val="single" w:color="auto" w:sz="4" w:space="0"/>
                    <w:right w:val="single" w:color="auto" w:sz="4" w:space="0"/>
                  </w:tcBorders>
                  <w:vAlign w:val="center"/>
                </w:tcPr>
                <w:p>
                  <w:pPr>
                    <w:jc w:val="center"/>
                    <w:rPr>
                      <w:kern w:val="0"/>
                      <w:szCs w:val="21"/>
                    </w:rPr>
                  </w:pPr>
                </w:p>
              </w:tc>
              <w:tc>
                <w:tcPr>
                  <w:tcW w:w="703" w:type="dxa"/>
                  <w:tcBorders>
                    <w:top w:val="nil"/>
                    <w:left w:val="nil"/>
                    <w:bottom w:val="single" w:color="auto" w:sz="4" w:space="0"/>
                    <w:right w:val="single" w:color="auto" w:sz="4" w:space="0"/>
                  </w:tcBorders>
                  <w:vAlign w:val="center"/>
                </w:tcPr>
                <w:p>
                  <w:pPr>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widowControl/>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ind w:left="125"/>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widowControl/>
                    <w:jc w:val="center"/>
                    <w:rPr>
                      <w:kern w:val="0"/>
                      <w:szCs w:val="21"/>
                    </w:rPr>
                  </w:pPr>
                </w:p>
              </w:tc>
              <w:tc>
                <w:tcPr>
                  <w:tcW w:w="704" w:type="dxa"/>
                  <w:tcBorders>
                    <w:top w:val="nil"/>
                    <w:left w:val="single" w:color="auto" w:sz="4" w:space="0"/>
                    <w:bottom w:val="single" w:color="auto" w:sz="4" w:space="0"/>
                    <w:right w:val="single" w:color="auto" w:sz="4" w:space="0"/>
                  </w:tcBorders>
                  <w:vAlign w:val="center"/>
                </w:tcPr>
                <w:p>
                  <w:pPr>
                    <w:widowControl/>
                    <w:jc w:val="center"/>
                    <w:rPr>
                      <w:kern w:val="0"/>
                      <w:szCs w:val="21"/>
                    </w:rPr>
                  </w:pPr>
                </w:p>
              </w:tc>
              <w:tc>
                <w:tcPr>
                  <w:tcW w:w="925" w:type="dxa"/>
                  <w:tcBorders>
                    <w:top w:val="nil"/>
                    <w:left w:val="single" w:color="auto" w:sz="4" w:space="0"/>
                    <w:bottom w:val="single" w:color="auto" w:sz="4" w:space="0"/>
                    <w:right w:val="single" w:color="auto" w:sz="4" w:space="0"/>
                  </w:tcBorders>
                  <w:vAlign w:val="center"/>
                </w:tcPr>
                <w:p>
                  <w:pPr>
                    <w:widowControl/>
                    <w:jc w:val="right"/>
                    <w:rPr>
                      <w:kern w:val="0"/>
                      <w:szCs w:val="21"/>
                    </w:rPr>
                  </w:pPr>
                </w:p>
              </w:tc>
            </w:tr>
          </w:tbl>
          <w:p>
            <w:pPr>
              <w:spacing w:before="156" w:beforeLines="50" w:line="360" w:lineRule="auto"/>
              <w:ind w:firstLine="210" w:firstLineChars="100"/>
              <w:jc w:val="left"/>
              <w:rPr>
                <w:szCs w:val="21"/>
              </w:rPr>
            </w:pPr>
            <w:r>
              <w:rPr>
                <w:rFonts w:hint="eastAsia"/>
                <w:szCs w:val="21"/>
              </w:rPr>
              <w:t>2 校准因子</w:t>
            </w:r>
          </w:p>
          <w:p>
            <w:pPr>
              <w:jc w:val="left"/>
              <w:rPr>
                <w:szCs w:val="21"/>
              </w:rPr>
            </w:pPr>
            <w:r>
              <w:rPr>
                <w:rFonts w:hint="eastAsia"/>
                <w:szCs w:val="21"/>
              </w:rPr>
              <w:t>测量距离：        cm   被校仪器量程：         被校仪器设置：</w:t>
            </w:r>
          </w:p>
          <w:tbl>
            <w:tblPr>
              <w:tblStyle w:val="26"/>
              <w:tblpPr w:leftFromText="180" w:rightFromText="180" w:vertAnchor="text" w:horzAnchor="margin" w:tblpXSpec="center" w:tblpY="391"/>
              <w:tblW w:w="97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5"/>
              <w:gridCol w:w="70"/>
              <w:gridCol w:w="882"/>
              <w:gridCol w:w="1051"/>
              <w:gridCol w:w="1134"/>
              <w:gridCol w:w="1134"/>
              <w:gridCol w:w="1134"/>
              <w:gridCol w:w="1134"/>
              <w:gridCol w:w="1468"/>
              <w:gridCol w:w="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035" w:type="dxa"/>
                  <w:gridSpan w:val="2"/>
                  <w:tcBorders>
                    <w:top w:val="single" w:color="auto" w:sz="12" w:space="0"/>
                    <w:left w:val="single" w:color="auto" w:sz="12" w:space="0"/>
                    <w:bottom w:val="single" w:color="auto" w:sz="8" w:space="0"/>
                    <w:right w:val="single" w:color="auto" w:sz="8" w:space="0"/>
                  </w:tcBorders>
                  <w:vAlign w:val="center"/>
                </w:tcPr>
                <w:p>
                  <w:pPr>
                    <w:jc w:val="center"/>
                    <w:rPr>
                      <w:sz w:val="18"/>
                    </w:rPr>
                  </w:pPr>
                  <w:r>
                    <w:rPr>
                      <w:rFonts w:hint="eastAsia"/>
                      <w:sz w:val="18"/>
                    </w:rPr>
                    <w:t>辐射条件1</w:t>
                  </w:r>
                </w:p>
              </w:tc>
              <w:tc>
                <w:tcPr>
                  <w:tcW w:w="6469" w:type="dxa"/>
                  <w:gridSpan w:val="6"/>
                  <w:tcBorders>
                    <w:top w:val="single" w:color="auto" w:sz="12" w:space="0"/>
                    <w:left w:val="single" w:color="auto" w:sz="8" w:space="0"/>
                    <w:bottom w:val="single" w:color="auto" w:sz="8" w:space="0"/>
                    <w:right w:val="single" w:color="auto" w:sz="8" w:space="0"/>
                  </w:tcBorders>
                  <w:vAlign w:val="center"/>
                </w:tcPr>
                <w:p>
                  <w:pPr>
                    <w:ind w:left="55" w:leftChars="26"/>
                    <w:rPr>
                      <w:sz w:val="18"/>
                    </w:rPr>
                  </w:pPr>
                  <w:r>
                    <w:rPr>
                      <w:rFonts w:hint="eastAsia"/>
                      <w:sz w:val="18"/>
                    </w:rPr>
                    <w:t xml:space="preserve">管电压    kV   管电流    mA     曝光时间    ms   附加过滤(mm)         </w:t>
                  </w:r>
                </w:p>
                <w:p>
                  <w:pPr>
                    <w:ind w:left="55" w:leftChars="26"/>
                    <w:rPr>
                      <w:sz w:val="18"/>
                    </w:rPr>
                  </w:pPr>
                  <w:r>
                    <w:rPr>
                      <w:rFonts w:hint="eastAsia"/>
                      <w:sz w:val="18"/>
                    </w:rPr>
                    <w:t>半值层      mmAl</w:t>
                  </w:r>
                </w:p>
              </w:tc>
              <w:tc>
                <w:tcPr>
                  <w:tcW w:w="1468" w:type="dxa"/>
                  <w:tcBorders>
                    <w:top w:val="single" w:color="auto" w:sz="12" w:space="0"/>
                    <w:left w:val="single" w:color="auto" w:sz="8" w:space="0"/>
                    <w:bottom w:val="single" w:color="auto" w:sz="8" w:space="0"/>
                    <w:right w:val="single" w:color="auto" w:sz="12" w:space="0"/>
                  </w:tcBorders>
                  <w:vAlign w:val="center"/>
                </w:tcPr>
                <w:p>
                  <w:pPr>
                    <w:snapToGrid w:val="0"/>
                    <w:ind w:left="-113" w:right="-113"/>
                    <w:jc w:val="center"/>
                    <w:rPr>
                      <w:sz w:val="18"/>
                    </w:rPr>
                  </w:pPr>
                  <w:r>
                    <w:rPr>
                      <w:rFonts w:hint="eastAsia"/>
                      <w:sz w:val="18"/>
                    </w:rPr>
                    <w:t>平均剂量率</w:t>
                  </w:r>
                </w:p>
                <w:p>
                  <w:pPr>
                    <w:snapToGrid w:val="0"/>
                    <w:ind w:left="-113" w:right="-113"/>
                    <w:jc w:val="center"/>
                    <w:rPr>
                      <w:sz w:val="18"/>
                    </w:rPr>
                  </w:pPr>
                  <w:r>
                    <w:rPr>
                      <w:rFonts w:hint="eastAsia"/>
                      <w:sz w:val="18"/>
                    </w:rPr>
                    <w:t>修正值(       )</w:t>
                  </w:r>
                </w:p>
              </w:tc>
              <w:tc>
                <w:tcPr>
                  <w:tcW w:w="812" w:type="dxa"/>
                  <w:vMerge w:val="restart"/>
                  <w:tcBorders>
                    <w:top w:val="single" w:color="auto" w:sz="12" w:space="0"/>
                    <w:left w:val="single" w:color="auto" w:sz="12" w:space="0"/>
                    <w:right w:val="single" w:color="auto" w:sz="12" w:space="0"/>
                  </w:tcBorders>
                  <w:vAlign w:val="center"/>
                </w:tcPr>
                <w:p>
                  <w:pPr>
                    <w:snapToGrid w:val="0"/>
                    <w:ind w:left="-113" w:right="-113"/>
                    <w:jc w:val="center"/>
                    <w:rPr>
                      <w:sz w:val="18"/>
                    </w:rPr>
                  </w:pPr>
                  <w:r>
                    <w:rPr>
                      <w:rFonts w:hint="eastAsia"/>
                      <w:sz w:val="18"/>
                    </w:rPr>
                    <w:t>校准因子</w:t>
                  </w:r>
                </w:p>
                <w:p>
                  <w:pPr>
                    <w:snapToGrid w:val="0"/>
                    <w:ind w:left="-113" w:right="-113"/>
                    <w:jc w:val="center"/>
                    <w:rPr>
                      <w:sz w:val="18"/>
                    </w:rPr>
                  </w:pPr>
                  <w:r>
                    <w:rPr>
                      <w:rFonts w:hint="eastAsia"/>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4" w:hRule="atLeast"/>
              </w:trPr>
              <w:tc>
                <w:tcPr>
                  <w:tcW w:w="1917" w:type="dxa"/>
                  <w:gridSpan w:val="3"/>
                  <w:tcBorders>
                    <w:top w:val="single" w:color="auto" w:sz="8" w:space="0"/>
                    <w:left w:val="single" w:color="auto" w:sz="12" w:space="0"/>
                  </w:tcBorders>
                  <w:vAlign w:val="center"/>
                </w:tcPr>
                <w:p>
                  <w:pPr>
                    <w:ind w:left="-57" w:right="-57"/>
                    <w:jc w:val="center"/>
                    <w:rPr>
                      <w:sz w:val="18"/>
                    </w:rPr>
                  </w:pPr>
                  <w:r>
                    <w:rPr>
                      <w:rFonts w:hint="eastAsia"/>
                      <w:sz w:val="18"/>
                    </w:rPr>
                    <w:t>标准测量值 (    )</w:t>
                  </w:r>
                </w:p>
              </w:tc>
              <w:tc>
                <w:tcPr>
                  <w:tcW w:w="1051"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right w:val="single" w:color="auto" w:sz="8" w:space="0"/>
                  </w:tcBorders>
                  <w:vAlign w:val="center"/>
                </w:tcPr>
                <w:p>
                  <w:pPr>
                    <w:rPr>
                      <w:sz w:val="18"/>
                    </w:rPr>
                  </w:pPr>
                </w:p>
              </w:tc>
              <w:tc>
                <w:tcPr>
                  <w:tcW w:w="1468" w:type="dxa"/>
                  <w:tcBorders>
                    <w:top w:val="single" w:color="auto" w:sz="4" w:space="0"/>
                    <w:left w:val="single" w:color="auto" w:sz="8" w:space="0"/>
                    <w:right w:val="single" w:color="auto" w:sz="12" w:space="0"/>
                  </w:tcBorders>
                  <w:vAlign w:val="center"/>
                </w:tcPr>
                <w:p>
                  <w:pPr>
                    <w:rPr>
                      <w:sz w:val="18"/>
                    </w:rPr>
                  </w:pPr>
                </w:p>
              </w:tc>
              <w:tc>
                <w:tcPr>
                  <w:tcW w:w="812" w:type="dxa"/>
                  <w:vMerge w:val="continue"/>
                  <w:tcBorders>
                    <w:left w:val="single" w:color="auto" w:sz="12" w:space="0"/>
                    <w:right w:val="single" w:color="auto" w:sz="12" w:space="0"/>
                  </w:tcBorders>
                  <w:vAlign w:val="center"/>
                </w:tcPr>
                <w:p>
                  <w:pPr>
                    <w:jc w:val="right"/>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917" w:type="dxa"/>
                  <w:gridSpan w:val="3"/>
                  <w:tcBorders>
                    <w:left w:val="single" w:color="auto" w:sz="12" w:space="0"/>
                    <w:bottom w:val="single" w:color="auto" w:sz="8" w:space="0"/>
                  </w:tcBorders>
                  <w:vAlign w:val="center"/>
                </w:tcPr>
                <w:p>
                  <w:pPr>
                    <w:ind w:left="-57" w:right="-57"/>
                    <w:jc w:val="center"/>
                    <w:rPr>
                      <w:sz w:val="18"/>
                    </w:rPr>
                  </w:pPr>
                  <w:r>
                    <w:rPr>
                      <w:rFonts w:hint="eastAsia"/>
                      <w:sz w:val="18"/>
                    </w:rPr>
                    <w:t>被校仪器测量值 (    )</w:t>
                  </w:r>
                </w:p>
              </w:tc>
              <w:tc>
                <w:tcPr>
                  <w:tcW w:w="1051"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right w:val="single" w:color="auto" w:sz="8" w:space="0"/>
                  </w:tcBorders>
                  <w:vAlign w:val="center"/>
                </w:tcPr>
                <w:p>
                  <w:pPr>
                    <w:rPr>
                      <w:sz w:val="18"/>
                    </w:rPr>
                  </w:pPr>
                </w:p>
              </w:tc>
              <w:tc>
                <w:tcPr>
                  <w:tcW w:w="1468" w:type="dxa"/>
                  <w:tcBorders>
                    <w:left w:val="single" w:color="auto" w:sz="8" w:space="0"/>
                    <w:bottom w:val="single" w:color="auto" w:sz="8" w:space="0"/>
                    <w:right w:val="single" w:color="auto" w:sz="12" w:space="0"/>
                  </w:tcBorders>
                  <w:vAlign w:val="center"/>
                </w:tcPr>
                <w:p>
                  <w:pPr>
                    <w:rPr>
                      <w:sz w:val="18"/>
                    </w:rPr>
                  </w:pPr>
                </w:p>
              </w:tc>
              <w:tc>
                <w:tcPr>
                  <w:tcW w:w="812" w:type="dxa"/>
                  <w:tcBorders>
                    <w:left w:val="single" w:color="auto" w:sz="12" w:space="0"/>
                    <w:right w:val="single" w:color="auto" w:sz="12" w:space="0"/>
                  </w:tcBorders>
                  <w:vAlign w:val="center"/>
                </w:tcPr>
                <w:p>
                  <w:pPr>
                    <w:jc w:val="right"/>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965" w:type="dxa"/>
                  <w:tcBorders>
                    <w:top w:val="single" w:color="auto" w:sz="12" w:space="0"/>
                    <w:left w:val="single" w:color="auto" w:sz="12" w:space="0"/>
                    <w:bottom w:val="single" w:color="auto" w:sz="8" w:space="0"/>
                    <w:right w:val="single" w:color="auto" w:sz="8" w:space="0"/>
                  </w:tcBorders>
                  <w:vAlign w:val="center"/>
                </w:tcPr>
                <w:p>
                  <w:pPr>
                    <w:jc w:val="center"/>
                    <w:rPr>
                      <w:sz w:val="18"/>
                    </w:rPr>
                  </w:pPr>
                  <w:r>
                    <w:rPr>
                      <w:rFonts w:hint="eastAsia"/>
                      <w:sz w:val="18"/>
                    </w:rPr>
                    <w:t>辐射条件2</w:t>
                  </w:r>
                </w:p>
              </w:tc>
              <w:tc>
                <w:tcPr>
                  <w:tcW w:w="6539" w:type="dxa"/>
                  <w:gridSpan w:val="7"/>
                  <w:tcBorders>
                    <w:top w:val="single" w:color="auto" w:sz="12" w:space="0"/>
                    <w:left w:val="single" w:color="auto" w:sz="8" w:space="0"/>
                    <w:bottom w:val="single" w:color="auto" w:sz="8" w:space="0"/>
                    <w:right w:val="single" w:color="auto" w:sz="8" w:space="0"/>
                  </w:tcBorders>
                  <w:vAlign w:val="center"/>
                </w:tcPr>
                <w:p>
                  <w:pPr>
                    <w:ind w:left="55" w:leftChars="26"/>
                    <w:rPr>
                      <w:sz w:val="18"/>
                    </w:rPr>
                  </w:pPr>
                  <w:r>
                    <w:rPr>
                      <w:rFonts w:hint="eastAsia"/>
                      <w:sz w:val="18"/>
                    </w:rPr>
                    <w:t xml:space="preserve">管电压    kV   管电流    mA     曝光时间    ms   附加过滤(mm)         </w:t>
                  </w:r>
                </w:p>
                <w:p>
                  <w:pPr>
                    <w:ind w:firstLine="90" w:firstLineChars="50"/>
                    <w:rPr>
                      <w:sz w:val="18"/>
                    </w:rPr>
                  </w:pPr>
                  <w:r>
                    <w:rPr>
                      <w:rFonts w:hint="eastAsia"/>
                      <w:sz w:val="18"/>
                    </w:rPr>
                    <w:t>半值层      mmAl</w:t>
                  </w:r>
                </w:p>
              </w:tc>
              <w:tc>
                <w:tcPr>
                  <w:tcW w:w="1468" w:type="dxa"/>
                  <w:tcBorders>
                    <w:top w:val="single" w:color="auto" w:sz="12" w:space="0"/>
                    <w:left w:val="single" w:color="auto" w:sz="8" w:space="0"/>
                    <w:bottom w:val="single" w:color="auto" w:sz="8" w:space="0"/>
                    <w:right w:val="single" w:color="auto" w:sz="12" w:space="0"/>
                  </w:tcBorders>
                  <w:vAlign w:val="center"/>
                </w:tcPr>
                <w:p>
                  <w:pPr>
                    <w:snapToGrid w:val="0"/>
                    <w:ind w:left="-113" w:right="-113"/>
                    <w:jc w:val="center"/>
                    <w:rPr>
                      <w:sz w:val="18"/>
                    </w:rPr>
                  </w:pPr>
                  <w:r>
                    <w:rPr>
                      <w:rFonts w:hint="eastAsia"/>
                      <w:sz w:val="18"/>
                    </w:rPr>
                    <w:t>平均剂量率</w:t>
                  </w:r>
                </w:p>
                <w:p>
                  <w:pPr>
                    <w:snapToGrid w:val="0"/>
                    <w:ind w:left="-113" w:right="-113"/>
                    <w:jc w:val="center"/>
                    <w:rPr>
                      <w:sz w:val="18"/>
                    </w:rPr>
                  </w:pPr>
                  <w:r>
                    <w:rPr>
                      <w:rFonts w:hint="eastAsia"/>
                      <w:sz w:val="18"/>
                    </w:rPr>
                    <w:t>修正值(       )</w:t>
                  </w:r>
                </w:p>
              </w:tc>
              <w:tc>
                <w:tcPr>
                  <w:tcW w:w="812" w:type="dxa"/>
                  <w:vMerge w:val="restart"/>
                  <w:tcBorders>
                    <w:top w:val="single" w:color="auto" w:sz="12" w:space="0"/>
                    <w:left w:val="single" w:color="auto" w:sz="12" w:space="0"/>
                    <w:right w:val="single" w:color="auto" w:sz="12" w:space="0"/>
                  </w:tcBorders>
                  <w:vAlign w:val="center"/>
                </w:tcPr>
                <w:p>
                  <w:pPr>
                    <w:snapToGrid w:val="0"/>
                    <w:ind w:left="-113" w:right="-113"/>
                    <w:jc w:val="center"/>
                    <w:rPr>
                      <w:sz w:val="18"/>
                    </w:rPr>
                  </w:pPr>
                  <w:r>
                    <w:rPr>
                      <w:rFonts w:hint="eastAsia"/>
                      <w:sz w:val="18"/>
                    </w:rPr>
                    <w:t>校准因子</w:t>
                  </w:r>
                </w:p>
                <w:p>
                  <w:pPr>
                    <w:snapToGrid w:val="0"/>
                    <w:ind w:left="-113" w:right="-113"/>
                    <w:jc w:val="center"/>
                    <w:rPr>
                      <w:sz w:val="18"/>
                    </w:rPr>
                  </w:pPr>
                  <w:r>
                    <w:rPr>
                      <w:rFonts w:hint="eastAsia"/>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917" w:type="dxa"/>
                  <w:gridSpan w:val="3"/>
                  <w:tcBorders>
                    <w:top w:val="single" w:color="auto" w:sz="8" w:space="0"/>
                    <w:left w:val="single" w:color="auto" w:sz="12" w:space="0"/>
                  </w:tcBorders>
                  <w:vAlign w:val="center"/>
                </w:tcPr>
                <w:p>
                  <w:pPr>
                    <w:ind w:left="-57" w:right="-57"/>
                    <w:jc w:val="center"/>
                    <w:rPr>
                      <w:sz w:val="18"/>
                    </w:rPr>
                  </w:pPr>
                  <w:r>
                    <w:rPr>
                      <w:rFonts w:hint="eastAsia"/>
                      <w:sz w:val="18"/>
                    </w:rPr>
                    <w:t>标准测量值 (     )</w:t>
                  </w:r>
                </w:p>
              </w:tc>
              <w:tc>
                <w:tcPr>
                  <w:tcW w:w="1051"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right w:val="single" w:color="auto" w:sz="8" w:space="0"/>
                  </w:tcBorders>
                  <w:vAlign w:val="center"/>
                </w:tcPr>
                <w:p>
                  <w:pPr>
                    <w:rPr>
                      <w:sz w:val="18"/>
                    </w:rPr>
                  </w:pPr>
                </w:p>
              </w:tc>
              <w:tc>
                <w:tcPr>
                  <w:tcW w:w="1468" w:type="dxa"/>
                  <w:tcBorders>
                    <w:top w:val="single" w:color="auto" w:sz="4" w:space="0"/>
                    <w:left w:val="single" w:color="auto" w:sz="8" w:space="0"/>
                    <w:right w:val="single" w:color="auto" w:sz="12" w:space="0"/>
                  </w:tcBorders>
                  <w:vAlign w:val="center"/>
                </w:tcPr>
                <w:p>
                  <w:pPr>
                    <w:rPr>
                      <w:sz w:val="18"/>
                    </w:rPr>
                  </w:pPr>
                </w:p>
              </w:tc>
              <w:tc>
                <w:tcPr>
                  <w:tcW w:w="812" w:type="dxa"/>
                  <w:vMerge w:val="continue"/>
                  <w:tcBorders>
                    <w:left w:val="single" w:color="auto" w:sz="12" w:space="0"/>
                    <w:right w:val="single" w:color="auto" w:sz="12" w:space="0"/>
                  </w:tcBorders>
                  <w:vAlign w:val="center"/>
                </w:tcPr>
                <w:p>
                  <w:pPr>
                    <w:jc w:val="right"/>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917" w:type="dxa"/>
                  <w:gridSpan w:val="3"/>
                  <w:tcBorders>
                    <w:left w:val="single" w:color="auto" w:sz="12" w:space="0"/>
                    <w:bottom w:val="single" w:color="auto" w:sz="8" w:space="0"/>
                  </w:tcBorders>
                  <w:vAlign w:val="center"/>
                </w:tcPr>
                <w:p>
                  <w:pPr>
                    <w:ind w:left="-57" w:right="-57"/>
                    <w:jc w:val="center"/>
                    <w:rPr>
                      <w:sz w:val="18"/>
                    </w:rPr>
                  </w:pPr>
                  <w:r>
                    <w:rPr>
                      <w:rFonts w:hint="eastAsia"/>
                      <w:sz w:val="18"/>
                    </w:rPr>
                    <w:t>被校仪器测量值 (    )</w:t>
                  </w:r>
                </w:p>
              </w:tc>
              <w:tc>
                <w:tcPr>
                  <w:tcW w:w="1051"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right w:val="single" w:color="auto" w:sz="8" w:space="0"/>
                  </w:tcBorders>
                  <w:vAlign w:val="center"/>
                </w:tcPr>
                <w:p>
                  <w:pPr>
                    <w:rPr>
                      <w:sz w:val="18"/>
                    </w:rPr>
                  </w:pPr>
                </w:p>
              </w:tc>
              <w:tc>
                <w:tcPr>
                  <w:tcW w:w="1468" w:type="dxa"/>
                  <w:tcBorders>
                    <w:left w:val="single" w:color="auto" w:sz="8" w:space="0"/>
                    <w:bottom w:val="single" w:color="auto" w:sz="8" w:space="0"/>
                    <w:right w:val="single" w:color="auto" w:sz="12" w:space="0"/>
                  </w:tcBorders>
                  <w:vAlign w:val="center"/>
                </w:tcPr>
                <w:p>
                  <w:pPr>
                    <w:rPr>
                      <w:sz w:val="18"/>
                    </w:rPr>
                  </w:pPr>
                </w:p>
              </w:tc>
              <w:tc>
                <w:tcPr>
                  <w:tcW w:w="812" w:type="dxa"/>
                  <w:tcBorders>
                    <w:left w:val="single" w:color="auto" w:sz="12" w:space="0"/>
                    <w:right w:val="single" w:color="auto" w:sz="12" w:space="0"/>
                  </w:tcBorders>
                  <w:vAlign w:val="center"/>
                </w:tcPr>
                <w:p>
                  <w:pPr>
                    <w:jc w:val="right"/>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035" w:type="dxa"/>
                  <w:gridSpan w:val="2"/>
                  <w:tcBorders>
                    <w:top w:val="single" w:color="auto" w:sz="12" w:space="0"/>
                    <w:left w:val="single" w:color="auto" w:sz="12" w:space="0"/>
                    <w:bottom w:val="single" w:color="auto" w:sz="8" w:space="0"/>
                    <w:right w:val="single" w:color="auto" w:sz="8" w:space="0"/>
                  </w:tcBorders>
                  <w:vAlign w:val="center"/>
                </w:tcPr>
                <w:p>
                  <w:pPr>
                    <w:jc w:val="center"/>
                    <w:rPr>
                      <w:sz w:val="18"/>
                    </w:rPr>
                  </w:pPr>
                  <w:r>
                    <w:rPr>
                      <w:rFonts w:hint="eastAsia"/>
                      <w:sz w:val="18"/>
                    </w:rPr>
                    <w:t>辐射条件3</w:t>
                  </w:r>
                </w:p>
              </w:tc>
              <w:tc>
                <w:tcPr>
                  <w:tcW w:w="6469" w:type="dxa"/>
                  <w:gridSpan w:val="6"/>
                  <w:tcBorders>
                    <w:top w:val="single" w:color="auto" w:sz="12" w:space="0"/>
                    <w:left w:val="single" w:color="auto" w:sz="8" w:space="0"/>
                    <w:bottom w:val="single" w:color="auto" w:sz="8" w:space="0"/>
                    <w:right w:val="single" w:color="auto" w:sz="8" w:space="0"/>
                  </w:tcBorders>
                  <w:vAlign w:val="center"/>
                </w:tcPr>
                <w:p>
                  <w:pPr>
                    <w:ind w:left="55" w:leftChars="26"/>
                    <w:rPr>
                      <w:sz w:val="18"/>
                    </w:rPr>
                  </w:pPr>
                  <w:r>
                    <w:rPr>
                      <w:rFonts w:hint="eastAsia"/>
                      <w:sz w:val="18"/>
                    </w:rPr>
                    <w:t xml:space="preserve">管电压    kV   管电流    mA     曝光时间    ms   附加过滤(mm)         </w:t>
                  </w:r>
                </w:p>
                <w:p>
                  <w:pPr>
                    <w:ind w:firstLine="90" w:firstLineChars="50"/>
                    <w:rPr>
                      <w:sz w:val="18"/>
                    </w:rPr>
                  </w:pPr>
                  <w:r>
                    <w:rPr>
                      <w:rFonts w:hint="eastAsia"/>
                      <w:sz w:val="18"/>
                    </w:rPr>
                    <w:t>半值层      mmAl</w:t>
                  </w:r>
                </w:p>
              </w:tc>
              <w:tc>
                <w:tcPr>
                  <w:tcW w:w="1468" w:type="dxa"/>
                  <w:tcBorders>
                    <w:top w:val="single" w:color="auto" w:sz="12" w:space="0"/>
                    <w:left w:val="single" w:color="auto" w:sz="8" w:space="0"/>
                    <w:bottom w:val="single" w:color="auto" w:sz="8" w:space="0"/>
                    <w:right w:val="single" w:color="auto" w:sz="12" w:space="0"/>
                  </w:tcBorders>
                  <w:vAlign w:val="center"/>
                </w:tcPr>
                <w:p>
                  <w:pPr>
                    <w:snapToGrid w:val="0"/>
                    <w:ind w:left="-113" w:right="-113"/>
                    <w:jc w:val="center"/>
                    <w:rPr>
                      <w:sz w:val="18"/>
                    </w:rPr>
                  </w:pPr>
                  <w:r>
                    <w:rPr>
                      <w:rFonts w:hint="eastAsia"/>
                      <w:sz w:val="18"/>
                    </w:rPr>
                    <w:t>平均剂量率</w:t>
                  </w:r>
                </w:p>
                <w:p>
                  <w:pPr>
                    <w:snapToGrid w:val="0"/>
                    <w:ind w:left="-113" w:right="-113"/>
                    <w:jc w:val="center"/>
                    <w:rPr>
                      <w:sz w:val="18"/>
                    </w:rPr>
                  </w:pPr>
                  <w:r>
                    <w:rPr>
                      <w:rFonts w:hint="eastAsia"/>
                      <w:sz w:val="18"/>
                    </w:rPr>
                    <w:t>修正值(       )</w:t>
                  </w:r>
                </w:p>
              </w:tc>
              <w:tc>
                <w:tcPr>
                  <w:tcW w:w="812" w:type="dxa"/>
                  <w:vMerge w:val="restart"/>
                  <w:tcBorders>
                    <w:top w:val="single" w:color="auto" w:sz="12" w:space="0"/>
                    <w:left w:val="single" w:color="auto" w:sz="12" w:space="0"/>
                    <w:right w:val="single" w:color="auto" w:sz="12" w:space="0"/>
                  </w:tcBorders>
                  <w:vAlign w:val="center"/>
                </w:tcPr>
                <w:p>
                  <w:pPr>
                    <w:snapToGrid w:val="0"/>
                    <w:ind w:left="-113" w:right="-113"/>
                    <w:jc w:val="center"/>
                    <w:rPr>
                      <w:sz w:val="18"/>
                    </w:rPr>
                  </w:pPr>
                  <w:r>
                    <w:rPr>
                      <w:rFonts w:hint="eastAsia"/>
                      <w:sz w:val="18"/>
                    </w:rPr>
                    <w:t>校准因子</w:t>
                  </w:r>
                </w:p>
                <w:p>
                  <w:pPr>
                    <w:snapToGrid w:val="0"/>
                    <w:ind w:left="-113" w:right="-113"/>
                    <w:jc w:val="center"/>
                    <w:rPr>
                      <w:sz w:val="18"/>
                    </w:rPr>
                  </w:pPr>
                  <w:r>
                    <w:rPr>
                      <w:rFonts w:hint="eastAsia"/>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917" w:type="dxa"/>
                  <w:gridSpan w:val="3"/>
                  <w:tcBorders>
                    <w:top w:val="single" w:color="auto" w:sz="8" w:space="0"/>
                    <w:left w:val="single" w:color="auto" w:sz="12" w:space="0"/>
                  </w:tcBorders>
                  <w:vAlign w:val="center"/>
                </w:tcPr>
                <w:p>
                  <w:pPr>
                    <w:ind w:left="-57" w:right="-57"/>
                    <w:jc w:val="center"/>
                    <w:rPr>
                      <w:sz w:val="18"/>
                    </w:rPr>
                  </w:pPr>
                  <w:r>
                    <w:rPr>
                      <w:rFonts w:hint="eastAsia"/>
                      <w:sz w:val="18"/>
                    </w:rPr>
                    <w:t>标准测量值 (     )</w:t>
                  </w:r>
                </w:p>
              </w:tc>
              <w:tc>
                <w:tcPr>
                  <w:tcW w:w="1051"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tcBorders>
                  <w:vAlign w:val="center"/>
                </w:tcPr>
                <w:p>
                  <w:pPr>
                    <w:rPr>
                      <w:sz w:val="18"/>
                    </w:rPr>
                  </w:pPr>
                </w:p>
              </w:tc>
              <w:tc>
                <w:tcPr>
                  <w:tcW w:w="1134" w:type="dxa"/>
                  <w:tcBorders>
                    <w:top w:val="single" w:color="auto" w:sz="8" w:space="0"/>
                    <w:right w:val="single" w:color="auto" w:sz="8" w:space="0"/>
                  </w:tcBorders>
                  <w:vAlign w:val="center"/>
                </w:tcPr>
                <w:p>
                  <w:pPr>
                    <w:rPr>
                      <w:sz w:val="18"/>
                    </w:rPr>
                  </w:pPr>
                </w:p>
              </w:tc>
              <w:tc>
                <w:tcPr>
                  <w:tcW w:w="1468" w:type="dxa"/>
                  <w:tcBorders>
                    <w:top w:val="single" w:color="auto" w:sz="4" w:space="0"/>
                    <w:left w:val="single" w:color="auto" w:sz="8" w:space="0"/>
                    <w:right w:val="single" w:color="auto" w:sz="12" w:space="0"/>
                  </w:tcBorders>
                  <w:vAlign w:val="center"/>
                </w:tcPr>
                <w:p>
                  <w:pPr>
                    <w:rPr>
                      <w:sz w:val="18"/>
                    </w:rPr>
                  </w:pPr>
                </w:p>
              </w:tc>
              <w:tc>
                <w:tcPr>
                  <w:tcW w:w="812" w:type="dxa"/>
                  <w:vMerge w:val="continue"/>
                  <w:tcBorders>
                    <w:left w:val="single" w:color="auto" w:sz="12" w:space="0"/>
                    <w:right w:val="single" w:color="auto" w:sz="12" w:space="0"/>
                  </w:tcBorders>
                  <w:vAlign w:val="center"/>
                </w:tcPr>
                <w:p>
                  <w:pPr>
                    <w:jc w:val="right"/>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trPr>
              <w:tc>
                <w:tcPr>
                  <w:tcW w:w="1917" w:type="dxa"/>
                  <w:gridSpan w:val="3"/>
                  <w:tcBorders>
                    <w:left w:val="single" w:color="auto" w:sz="12" w:space="0"/>
                    <w:bottom w:val="single" w:color="auto" w:sz="8" w:space="0"/>
                  </w:tcBorders>
                  <w:vAlign w:val="center"/>
                </w:tcPr>
                <w:p>
                  <w:pPr>
                    <w:ind w:left="-57" w:right="-57"/>
                    <w:jc w:val="center"/>
                    <w:rPr>
                      <w:sz w:val="18"/>
                    </w:rPr>
                  </w:pPr>
                  <w:r>
                    <w:rPr>
                      <w:rFonts w:hint="eastAsia"/>
                      <w:sz w:val="18"/>
                    </w:rPr>
                    <w:t>被校仪器测量值 (    )</w:t>
                  </w:r>
                </w:p>
              </w:tc>
              <w:tc>
                <w:tcPr>
                  <w:tcW w:w="1051"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tcBorders>
                  <w:vAlign w:val="center"/>
                </w:tcPr>
                <w:p>
                  <w:pPr>
                    <w:rPr>
                      <w:sz w:val="18"/>
                    </w:rPr>
                  </w:pPr>
                </w:p>
              </w:tc>
              <w:tc>
                <w:tcPr>
                  <w:tcW w:w="1134" w:type="dxa"/>
                  <w:tcBorders>
                    <w:bottom w:val="single" w:color="auto" w:sz="8" w:space="0"/>
                    <w:right w:val="single" w:color="auto" w:sz="8" w:space="0"/>
                  </w:tcBorders>
                  <w:vAlign w:val="center"/>
                </w:tcPr>
                <w:p>
                  <w:pPr>
                    <w:rPr>
                      <w:sz w:val="18"/>
                    </w:rPr>
                  </w:pPr>
                </w:p>
              </w:tc>
              <w:tc>
                <w:tcPr>
                  <w:tcW w:w="1468" w:type="dxa"/>
                  <w:tcBorders>
                    <w:left w:val="single" w:color="auto" w:sz="8" w:space="0"/>
                    <w:bottom w:val="single" w:color="auto" w:sz="8" w:space="0"/>
                    <w:right w:val="single" w:color="auto" w:sz="12" w:space="0"/>
                  </w:tcBorders>
                  <w:vAlign w:val="center"/>
                </w:tcPr>
                <w:p>
                  <w:pPr>
                    <w:rPr>
                      <w:sz w:val="18"/>
                    </w:rPr>
                  </w:pPr>
                </w:p>
              </w:tc>
              <w:tc>
                <w:tcPr>
                  <w:tcW w:w="812" w:type="dxa"/>
                  <w:tcBorders>
                    <w:left w:val="single" w:color="auto" w:sz="12" w:space="0"/>
                    <w:right w:val="single" w:color="auto" w:sz="12" w:space="0"/>
                  </w:tcBorders>
                  <w:vAlign w:val="center"/>
                </w:tcPr>
                <w:p>
                  <w:pPr>
                    <w:jc w:val="right"/>
                    <w:rPr>
                      <w:sz w:val="18"/>
                    </w:rPr>
                  </w:pPr>
                </w:p>
              </w:tc>
            </w:tr>
          </w:tbl>
          <w:p>
            <w:pPr>
              <w:spacing w:before="156" w:beforeLines="50"/>
              <w:jc w:val="left"/>
              <w:rPr>
                <w:szCs w:val="21"/>
              </w:rPr>
            </w:pPr>
            <w:r>
              <w:rPr>
                <w:rFonts w:hint="eastAsia"/>
                <w:szCs w:val="21"/>
              </w:rPr>
              <w:t>3 能量响应</w:t>
            </w:r>
          </w:p>
          <w:p>
            <w:pPr>
              <w:jc w:val="right"/>
              <w:rPr>
                <w:szCs w:val="21"/>
              </w:rPr>
            </w:pPr>
          </w:p>
          <w:p>
            <w:pPr>
              <w:ind w:right="840" w:firstLine="4830" w:firstLineChars="2300"/>
              <w:rPr>
                <w:szCs w:val="21"/>
                <w:u w:val="single"/>
              </w:rPr>
            </w:pPr>
            <w:r>
              <w:rPr>
                <w:szCs w:val="21"/>
              </w:rPr>
              <w:t>检定员：</w:t>
            </w:r>
            <w:r>
              <w:rPr>
                <w:szCs w:val="21"/>
                <w:u w:val="single"/>
              </w:rPr>
              <w:t xml:space="preserve">  </w:t>
            </w:r>
            <w:r>
              <w:rPr>
                <w:rFonts w:hint="eastAsia"/>
                <w:szCs w:val="21"/>
                <w:u w:val="single"/>
              </w:rPr>
              <w:t xml:space="preserve">     </w:t>
            </w:r>
            <w:r>
              <w:rPr>
                <w:szCs w:val="21"/>
                <w:u w:val="single"/>
              </w:rPr>
              <w:t xml:space="preserve">    </w:t>
            </w:r>
            <w:r>
              <w:rPr>
                <w:szCs w:val="21"/>
              </w:rPr>
              <w:t xml:space="preserve"> 校验员：</w:t>
            </w: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tc>
      </w:tr>
    </w:tbl>
    <w:p>
      <w:pPr>
        <w:pStyle w:val="6"/>
        <w:spacing w:before="0" w:after="0" w:line="240" w:lineRule="auto"/>
        <w:rPr>
          <w:sz w:val="24"/>
          <w:u w:val="single"/>
        </w:rPr>
        <w:sectPr>
          <w:headerReference r:id="rId13" w:type="default"/>
          <w:pgSz w:w="11906" w:h="16838"/>
          <w:pgMar w:top="1134" w:right="1474" w:bottom="1134" w:left="1474" w:header="851" w:footer="992" w:gutter="0"/>
          <w:pgNumType w:start="1"/>
          <w:cols w:space="720" w:num="1"/>
          <w:docGrid w:type="lines" w:linePitch="312" w:charSpace="0"/>
        </w:sectPr>
      </w:pPr>
    </w:p>
    <w:p>
      <w:pPr>
        <w:pStyle w:val="6"/>
        <w:spacing w:before="0" w:after="0" w:line="240" w:lineRule="auto"/>
        <w:rPr>
          <w:rFonts w:ascii="黑体" w:hAnsi="黑体" w:eastAsia="黑体"/>
          <w:b w:val="0"/>
          <w:bCs w:val="0"/>
        </w:rPr>
      </w:pPr>
      <w:bookmarkStart w:id="54" w:name="_Toc490329533"/>
      <w:r>
        <w:rPr>
          <w:rFonts w:hint="eastAsia" w:ascii="黑体" w:hAnsi="黑体" w:eastAsia="黑体"/>
          <w:b w:val="0"/>
          <w:bCs w:val="0"/>
        </w:rPr>
        <w:t>附录C</w:t>
      </w:r>
      <w:bookmarkEnd w:id="54"/>
    </w:p>
    <w:p>
      <w:pPr>
        <w:pStyle w:val="13"/>
        <w:spacing w:after="312" w:afterLines="100"/>
        <w:jc w:val="center"/>
        <w:rPr>
          <w:rFonts w:eastAsia="黑体"/>
          <w:sz w:val="28"/>
          <w:szCs w:val="28"/>
        </w:rPr>
      </w:pPr>
      <w:r>
        <w:rPr>
          <w:rFonts w:hint="eastAsia" w:eastAsia="黑体"/>
          <w:sz w:val="28"/>
          <w:szCs w:val="28"/>
        </w:rPr>
        <w:t>校准证书内页格式式样</w:t>
      </w:r>
    </w:p>
    <w:tbl>
      <w:tblPr>
        <w:tblStyle w:val="26"/>
        <w:tblW w:w="9180" w:type="dxa"/>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5" w:hRule="atLeast"/>
        </w:trPr>
        <w:tc>
          <w:tcPr>
            <w:tcW w:w="9180" w:type="dxa"/>
            <w:tcBorders>
              <w:top w:val="single" w:color="auto" w:sz="6" w:space="0"/>
              <w:left w:val="single" w:color="auto" w:sz="6" w:space="0"/>
              <w:bottom w:val="single" w:color="auto" w:sz="6" w:space="0"/>
              <w:right w:val="single" w:color="auto" w:sz="6" w:space="0"/>
            </w:tcBorders>
          </w:tcPr>
          <w:p>
            <w:pPr>
              <w:pStyle w:val="13"/>
              <w:spacing w:after="0"/>
              <w:jc w:val="center"/>
              <w:rPr>
                <w:sz w:val="24"/>
                <w:lang w:val="en-US" w:eastAsia="zh-CN"/>
              </w:rPr>
            </w:pPr>
            <w:r>
              <w:rPr>
                <w:rFonts w:hint="eastAsia"/>
                <w:sz w:val="24"/>
                <w:lang w:val="en-US" w:eastAsia="zh-CN"/>
              </w:rPr>
              <w:t>证书编号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380"/>
              <w:gridCol w:w="642"/>
              <w:gridCol w:w="1045"/>
              <w:gridCol w:w="882"/>
              <w:gridCol w:w="1631"/>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8459" w:type="dxa"/>
                  <w:gridSpan w:val="7"/>
                </w:tcPr>
                <w:p>
                  <w:pPr>
                    <w:pStyle w:val="13"/>
                    <w:snapToGrid w:val="0"/>
                    <w:spacing w:before="156" w:beforeLines="50"/>
                    <w:rPr>
                      <w:sz w:val="24"/>
                      <w:lang w:val="en-US" w:eastAsia="zh-CN"/>
                    </w:rPr>
                  </w:pPr>
                  <w:r>
                    <w:rPr>
                      <w:rFonts w:hint="eastAsia"/>
                      <w:sz w:val="24"/>
                      <w:lang w:val="en-US" w:eastAsia="zh-CN"/>
                    </w:rPr>
                    <w:t>校准机构授权说明</w:t>
                  </w:r>
                </w:p>
                <w:p>
                  <w:pPr>
                    <w:pStyle w:val="13"/>
                    <w:spacing w:line="360" w:lineRule="auto"/>
                    <w:ind w:left="840"/>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59" w:type="dxa"/>
                  <w:gridSpan w:val="7"/>
                  <w:vAlign w:val="center"/>
                </w:tcPr>
                <w:p>
                  <w:pPr>
                    <w:pStyle w:val="13"/>
                    <w:snapToGrid w:val="0"/>
                    <w:rPr>
                      <w:sz w:val="24"/>
                      <w:lang w:val="en-US" w:eastAsia="zh-CN"/>
                    </w:rPr>
                  </w:pPr>
                  <w:r>
                    <w:rPr>
                      <w:rFonts w:hint="eastAsia"/>
                      <w:sz w:val="24"/>
                      <w:lang w:val="en-US" w:eastAsia="zh-CN"/>
                    </w:rPr>
                    <w:t>校准环境条件及地点：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9" w:type="dxa"/>
                  <w:vAlign w:val="center"/>
                </w:tcPr>
                <w:p>
                  <w:pPr>
                    <w:pStyle w:val="13"/>
                    <w:snapToGrid w:val="0"/>
                    <w:jc w:val="center"/>
                    <w:rPr>
                      <w:sz w:val="24"/>
                      <w:lang w:val="en-US" w:eastAsia="zh-CN"/>
                    </w:rPr>
                  </w:pPr>
                  <w:r>
                    <w:rPr>
                      <w:rFonts w:hint="eastAsia"/>
                      <w:sz w:val="24"/>
                      <w:lang w:val="en-US" w:eastAsia="zh-CN"/>
                    </w:rPr>
                    <w:t>温    度</w:t>
                  </w:r>
                </w:p>
              </w:tc>
              <w:tc>
                <w:tcPr>
                  <w:tcW w:w="2022" w:type="dxa"/>
                  <w:gridSpan w:val="2"/>
                  <w:vAlign w:val="center"/>
                </w:tcPr>
                <w:p>
                  <w:pPr>
                    <w:pStyle w:val="13"/>
                    <w:snapToGrid w:val="0"/>
                    <w:jc w:val="right"/>
                    <w:rPr>
                      <w:sz w:val="24"/>
                      <w:lang w:val="en-US" w:eastAsia="zh-CN"/>
                    </w:rPr>
                  </w:pPr>
                  <w:r>
                    <w:rPr>
                      <w:rFonts w:hint="eastAsia"/>
                      <w:sz w:val="24"/>
                      <w:lang w:val="en-US" w:eastAsia="zh-CN"/>
                    </w:rPr>
                    <w:t>℃</w:t>
                  </w:r>
                </w:p>
              </w:tc>
              <w:tc>
                <w:tcPr>
                  <w:tcW w:w="1045" w:type="dxa"/>
                  <w:vAlign w:val="center"/>
                </w:tcPr>
                <w:p>
                  <w:pPr>
                    <w:pStyle w:val="13"/>
                    <w:snapToGrid w:val="0"/>
                    <w:jc w:val="center"/>
                    <w:rPr>
                      <w:sz w:val="24"/>
                      <w:lang w:val="en-US" w:eastAsia="zh-CN"/>
                    </w:rPr>
                  </w:pPr>
                  <w:r>
                    <w:rPr>
                      <w:rFonts w:hint="eastAsia"/>
                      <w:sz w:val="24"/>
                      <w:lang w:val="en-US" w:eastAsia="zh-CN"/>
                    </w:rPr>
                    <w:t>地  点</w:t>
                  </w:r>
                </w:p>
              </w:tc>
              <w:tc>
                <w:tcPr>
                  <w:tcW w:w="4003" w:type="dxa"/>
                  <w:gridSpan w:val="3"/>
                  <w:vAlign w:val="center"/>
                </w:tcPr>
                <w:p>
                  <w:pPr>
                    <w:pStyle w:val="13"/>
                    <w:snapToGrid w:val="0"/>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9" w:type="dxa"/>
                  <w:vAlign w:val="center"/>
                </w:tcPr>
                <w:p>
                  <w:pPr>
                    <w:pStyle w:val="13"/>
                    <w:snapToGrid w:val="0"/>
                    <w:jc w:val="center"/>
                    <w:rPr>
                      <w:sz w:val="24"/>
                      <w:lang w:val="en-US" w:eastAsia="zh-CN"/>
                    </w:rPr>
                  </w:pPr>
                  <w:r>
                    <w:rPr>
                      <w:rFonts w:hint="eastAsia"/>
                      <w:sz w:val="24"/>
                      <w:lang w:val="en-US" w:eastAsia="zh-CN"/>
                    </w:rPr>
                    <w:t>相对湿度</w:t>
                  </w:r>
                </w:p>
              </w:tc>
              <w:tc>
                <w:tcPr>
                  <w:tcW w:w="2022" w:type="dxa"/>
                  <w:gridSpan w:val="2"/>
                  <w:vAlign w:val="center"/>
                </w:tcPr>
                <w:p>
                  <w:pPr>
                    <w:pStyle w:val="13"/>
                    <w:snapToGrid w:val="0"/>
                    <w:jc w:val="right"/>
                    <w:rPr>
                      <w:sz w:val="24"/>
                      <w:lang w:val="en-US" w:eastAsia="zh-CN"/>
                    </w:rPr>
                  </w:pPr>
                  <w:r>
                    <w:rPr>
                      <w:rFonts w:hint="eastAsia"/>
                      <w:sz w:val="24"/>
                      <w:lang w:val="en-US" w:eastAsia="zh-CN"/>
                    </w:rPr>
                    <w:t>%</w:t>
                  </w:r>
                </w:p>
              </w:tc>
              <w:tc>
                <w:tcPr>
                  <w:tcW w:w="1045" w:type="dxa"/>
                  <w:vAlign w:val="center"/>
                </w:tcPr>
                <w:p>
                  <w:pPr>
                    <w:pStyle w:val="13"/>
                    <w:snapToGrid w:val="0"/>
                    <w:jc w:val="center"/>
                    <w:rPr>
                      <w:sz w:val="24"/>
                      <w:lang w:val="en-US" w:eastAsia="zh-CN"/>
                    </w:rPr>
                  </w:pPr>
                  <w:r>
                    <w:rPr>
                      <w:rFonts w:hint="eastAsia"/>
                      <w:sz w:val="24"/>
                      <w:lang w:val="en-US" w:eastAsia="zh-CN"/>
                    </w:rPr>
                    <w:t>其  他</w:t>
                  </w:r>
                </w:p>
              </w:tc>
              <w:tc>
                <w:tcPr>
                  <w:tcW w:w="4003" w:type="dxa"/>
                  <w:gridSpan w:val="3"/>
                  <w:vAlign w:val="center"/>
                </w:tcPr>
                <w:p>
                  <w:pPr>
                    <w:pStyle w:val="13"/>
                    <w:snapToGrid w:val="0"/>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459" w:type="dxa"/>
                  <w:gridSpan w:val="7"/>
                  <w:vAlign w:val="center"/>
                </w:tcPr>
                <w:p>
                  <w:pPr>
                    <w:pStyle w:val="13"/>
                    <w:snapToGrid w:val="0"/>
                    <w:rPr>
                      <w:sz w:val="24"/>
                      <w:lang w:val="en-US" w:eastAsia="zh-CN"/>
                    </w:rPr>
                  </w:pPr>
                  <w:r>
                    <w:rPr>
                      <w:rFonts w:hint="eastAsia"/>
                      <w:sz w:val="24"/>
                      <w:lang w:val="en-US" w:eastAsia="zh-CN"/>
                    </w:rPr>
                    <w:t>测量标准及其他设备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jc w:val="center"/>
              </w:trPr>
              <w:tc>
                <w:tcPr>
                  <w:tcW w:w="1389" w:type="dxa"/>
                  <w:vAlign w:val="center"/>
                </w:tcPr>
                <w:p>
                  <w:pPr>
                    <w:pStyle w:val="13"/>
                    <w:snapToGrid w:val="0"/>
                    <w:jc w:val="center"/>
                    <w:rPr>
                      <w:sz w:val="24"/>
                      <w:lang w:val="en-US" w:eastAsia="zh-CN"/>
                    </w:rPr>
                  </w:pPr>
                  <w:r>
                    <w:rPr>
                      <w:rFonts w:hint="eastAsia"/>
                      <w:sz w:val="24"/>
                      <w:lang w:val="en-US" w:eastAsia="zh-CN"/>
                    </w:rPr>
                    <w:t>名  称</w:t>
                  </w:r>
                </w:p>
              </w:tc>
              <w:tc>
                <w:tcPr>
                  <w:tcW w:w="1380" w:type="dxa"/>
                  <w:vAlign w:val="center"/>
                </w:tcPr>
                <w:p>
                  <w:pPr>
                    <w:pStyle w:val="13"/>
                    <w:snapToGrid w:val="0"/>
                    <w:jc w:val="center"/>
                    <w:rPr>
                      <w:sz w:val="24"/>
                      <w:lang w:val="en-US" w:eastAsia="zh-CN"/>
                    </w:rPr>
                  </w:pPr>
                  <w:r>
                    <w:rPr>
                      <w:rFonts w:hint="eastAsia"/>
                      <w:sz w:val="24"/>
                      <w:lang w:val="en-US" w:eastAsia="zh-CN"/>
                    </w:rPr>
                    <w:t>测量范围</w:t>
                  </w:r>
                </w:p>
              </w:tc>
              <w:tc>
                <w:tcPr>
                  <w:tcW w:w="2569" w:type="dxa"/>
                  <w:gridSpan w:val="3"/>
                  <w:vAlign w:val="center"/>
                </w:tcPr>
                <w:p>
                  <w:pPr>
                    <w:pStyle w:val="13"/>
                    <w:snapToGrid w:val="0"/>
                    <w:jc w:val="center"/>
                    <w:rPr>
                      <w:sz w:val="24"/>
                      <w:lang w:val="en-US" w:eastAsia="zh-CN"/>
                    </w:rPr>
                  </w:pPr>
                  <w:r>
                    <w:rPr>
                      <w:rFonts w:hint="eastAsia"/>
                      <w:sz w:val="24"/>
                      <w:lang w:val="en-US" w:eastAsia="zh-CN"/>
                    </w:rPr>
                    <w:t>不确定度／准确度等级／最大允许误差</w:t>
                  </w:r>
                </w:p>
              </w:tc>
              <w:tc>
                <w:tcPr>
                  <w:tcW w:w="1631" w:type="dxa"/>
                  <w:vAlign w:val="center"/>
                </w:tcPr>
                <w:p>
                  <w:pPr>
                    <w:pStyle w:val="13"/>
                    <w:snapToGrid w:val="0"/>
                    <w:jc w:val="center"/>
                    <w:rPr>
                      <w:sz w:val="24"/>
                      <w:lang w:val="en-US" w:eastAsia="zh-CN"/>
                    </w:rPr>
                  </w:pPr>
                  <w:r>
                    <w:rPr>
                      <w:rFonts w:hint="eastAsia"/>
                      <w:sz w:val="24"/>
                      <w:lang w:val="en-US" w:eastAsia="zh-CN"/>
                    </w:rPr>
                    <w:t>计量标准证书编号</w:t>
                  </w:r>
                </w:p>
              </w:tc>
              <w:tc>
                <w:tcPr>
                  <w:tcW w:w="1490" w:type="dxa"/>
                  <w:vAlign w:val="center"/>
                </w:tcPr>
                <w:p>
                  <w:pPr>
                    <w:pStyle w:val="13"/>
                    <w:snapToGrid w:val="0"/>
                    <w:jc w:val="center"/>
                    <w:rPr>
                      <w:sz w:val="24"/>
                      <w:lang w:val="en-US" w:eastAsia="zh-CN"/>
                    </w:rPr>
                  </w:pPr>
                  <w:r>
                    <w:rPr>
                      <w:rFonts w:hint="eastAsia"/>
                      <w:sz w:val="24"/>
                      <w:lang w:val="en-US" w:eastAsia="zh-CN"/>
                    </w:rPr>
                    <w:t>有效期至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89" w:type="dxa"/>
                  <w:vAlign w:val="center"/>
                </w:tcPr>
                <w:p>
                  <w:pPr>
                    <w:pStyle w:val="13"/>
                    <w:snapToGrid w:val="0"/>
                    <w:rPr>
                      <w:sz w:val="24"/>
                      <w:lang w:val="en-US" w:eastAsia="zh-CN"/>
                    </w:rPr>
                  </w:pPr>
                </w:p>
                <w:p>
                  <w:pPr>
                    <w:pStyle w:val="13"/>
                    <w:snapToGrid w:val="0"/>
                    <w:rPr>
                      <w:sz w:val="24"/>
                      <w:lang w:val="en-US" w:eastAsia="zh-CN"/>
                    </w:rPr>
                  </w:pPr>
                </w:p>
                <w:p>
                  <w:pPr>
                    <w:pStyle w:val="13"/>
                    <w:snapToGrid w:val="0"/>
                    <w:rPr>
                      <w:sz w:val="24"/>
                      <w:lang w:val="en-US" w:eastAsia="zh-CN"/>
                    </w:rPr>
                  </w:pPr>
                </w:p>
              </w:tc>
              <w:tc>
                <w:tcPr>
                  <w:tcW w:w="1380" w:type="dxa"/>
                  <w:vAlign w:val="center"/>
                </w:tcPr>
                <w:p>
                  <w:pPr>
                    <w:pStyle w:val="13"/>
                    <w:snapToGrid w:val="0"/>
                    <w:rPr>
                      <w:sz w:val="24"/>
                      <w:lang w:val="en-US" w:eastAsia="zh-CN"/>
                    </w:rPr>
                  </w:pPr>
                </w:p>
              </w:tc>
              <w:tc>
                <w:tcPr>
                  <w:tcW w:w="2569" w:type="dxa"/>
                  <w:gridSpan w:val="3"/>
                  <w:vAlign w:val="center"/>
                </w:tcPr>
                <w:p>
                  <w:pPr>
                    <w:pStyle w:val="13"/>
                    <w:snapToGrid w:val="0"/>
                    <w:rPr>
                      <w:sz w:val="24"/>
                      <w:lang w:val="en-US" w:eastAsia="zh-CN"/>
                    </w:rPr>
                  </w:pPr>
                </w:p>
              </w:tc>
              <w:tc>
                <w:tcPr>
                  <w:tcW w:w="1631" w:type="dxa"/>
                  <w:vAlign w:val="center"/>
                </w:tcPr>
                <w:p>
                  <w:pPr>
                    <w:pStyle w:val="13"/>
                    <w:snapToGrid w:val="0"/>
                    <w:rPr>
                      <w:sz w:val="24"/>
                      <w:lang w:val="en-US" w:eastAsia="zh-CN"/>
                    </w:rPr>
                  </w:pPr>
                </w:p>
              </w:tc>
              <w:tc>
                <w:tcPr>
                  <w:tcW w:w="1490" w:type="dxa"/>
                  <w:vAlign w:val="center"/>
                </w:tcPr>
                <w:p>
                  <w:pPr>
                    <w:pStyle w:val="13"/>
                    <w:snapToGrid w:val="0"/>
                    <w:rPr>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2" w:hRule="atLeast"/>
                <w:jc w:val="center"/>
              </w:trPr>
              <w:tc>
                <w:tcPr>
                  <w:tcW w:w="8459" w:type="dxa"/>
                  <w:gridSpan w:val="7"/>
                </w:tcPr>
                <w:p>
                  <w:pPr>
                    <w:pStyle w:val="13"/>
                    <w:jc w:val="center"/>
                    <w:rPr>
                      <w:rFonts w:ascii="黑体" w:eastAsia="黑体"/>
                      <w:sz w:val="32"/>
                      <w:szCs w:val="32"/>
                      <w:lang w:val="en-US" w:eastAsia="zh-CN"/>
                    </w:rPr>
                  </w:pPr>
                  <w:r>
                    <w:rPr>
                      <w:rFonts w:hint="eastAsia" w:ascii="黑体" w:eastAsia="黑体"/>
                      <w:sz w:val="32"/>
                      <w:szCs w:val="32"/>
                      <w:lang w:val="en-US" w:eastAsia="zh-CN"/>
                    </w:rPr>
                    <w:t>校 准 结 果</w:t>
                  </w:r>
                </w:p>
                <w:p>
                  <w:pPr>
                    <w:pStyle w:val="13"/>
                    <w:numPr>
                      <w:ilvl w:val="0"/>
                      <w:numId w:val="1"/>
                    </w:numPr>
                    <w:ind w:left="319" w:firstLine="0"/>
                    <w:jc w:val="left"/>
                    <w:rPr>
                      <w:rFonts w:ascii="宋体" w:hAnsi="宋体"/>
                      <w:sz w:val="24"/>
                      <w:lang w:val="en-US" w:eastAsia="zh-CN"/>
                    </w:rPr>
                  </w:pPr>
                  <w:r>
                    <w:rPr>
                      <w:rFonts w:hint="eastAsia" w:ascii="宋体" w:hAnsi="宋体"/>
                      <w:sz w:val="24"/>
                      <w:lang w:val="en-US" w:eastAsia="zh-CN"/>
                    </w:rPr>
                    <w:t>重复性：</w:t>
                  </w:r>
                </w:p>
                <w:p>
                  <w:pPr>
                    <w:pStyle w:val="13"/>
                    <w:numPr>
                      <w:ilvl w:val="0"/>
                      <w:numId w:val="1"/>
                    </w:numPr>
                    <w:ind w:left="319" w:firstLine="0"/>
                    <w:jc w:val="left"/>
                    <w:rPr>
                      <w:rFonts w:ascii="宋体" w:hAnsi="宋体"/>
                      <w:sz w:val="24"/>
                      <w:lang w:val="en-US" w:eastAsia="zh-CN"/>
                    </w:rPr>
                  </w:pPr>
                  <w:r>
                    <w:rPr>
                      <w:rFonts w:hint="eastAsia" w:ascii="宋体" w:hAnsi="宋体"/>
                      <w:sz w:val="24"/>
                      <w:lang w:val="en-US" w:eastAsia="zh-CN"/>
                    </w:rPr>
                    <w:t>能量响应：</w:t>
                  </w:r>
                </w:p>
                <w:p>
                  <w:pPr>
                    <w:pStyle w:val="13"/>
                    <w:numPr>
                      <w:ilvl w:val="0"/>
                      <w:numId w:val="1"/>
                    </w:numPr>
                    <w:ind w:left="319" w:firstLine="0"/>
                    <w:jc w:val="left"/>
                    <w:rPr>
                      <w:rFonts w:ascii="宋体" w:hAnsi="宋体"/>
                      <w:sz w:val="24"/>
                      <w:lang w:val="en-US" w:eastAsia="zh-CN"/>
                    </w:rPr>
                  </w:pPr>
                  <w:r>
                    <w:rPr>
                      <w:rFonts w:hint="eastAsia" w:ascii="宋体" w:hAnsi="宋体"/>
                      <w:sz w:val="24"/>
                      <w:lang w:val="en-US" w:eastAsia="zh-CN"/>
                    </w:rPr>
                    <w:t>校准因子及不确定度：</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1371"/>
                    <w:gridCol w:w="1371"/>
                    <w:gridCol w:w="1371"/>
                    <w:gridCol w:w="1372"/>
                    <w:gridCol w:w="1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1" w:type="dxa"/>
                        <w:vAlign w:val="center"/>
                      </w:tcPr>
                      <w:p>
                        <w:pPr>
                          <w:pStyle w:val="13"/>
                          <w:jc w:val="center"/>
                          <w:rPr>
                            <w:rFonts w:ascii="宋体" w:hAnsi="宋体"/>
                            <w:sz w:val="24"/>
                            <w:lang w:val="en-US" w:eastAsia="zh-CN"/>
                          </w:rPr>
                        </w:pPr>
                        <w:r>
                          <w:rPr>
                            <w:rFonts w:hint="eastAsia" w:ascii="宋体" w:hAnsi="宋体"/>
                            <w:sz w:val="24"/>
                            <w:lang w:val="en-US" w:eastAsia="zh-CN"/>
                          </w:rPr>
                          <w:t>辐射质</w:t>
                        </w:r>
                      </w:p>
                    </w:tc>
                    <w:tc>
                      <w:tcPr>
                        <w:tcW w:w="1371" w:type="dxa"/>
                        <w:vAlign w:val="center"/>
                      </w:tcPr>
                      <w:p>
                        <w:pPr>
                          <w:pStyle w:val="13"/>
                          <w:jc w:val="center"/>
                          <w:rPr>
                            <w:rFonts w:ascii="宋体" w:hAnsi="宋体"/>
                            <w:sz w:val="24"/>
                            <w:lang w:val="en-US" w:eastAsia="zh-CN"/>
                          </w:rPr>
                        </w:pPr>
                        <w:r>
                          <w:rPr>
                            <w:rFonts w:hint="eastAsia" w:ascii="宋体" w:hAnsi="宋体"/>
                            <w:sz w:val="24"/>
                            <w:lang w:val="en-US" w:eastAsia="zh-CN"/>
                          </w:rPr>
                          <w:t>管电压</w:t>
                        </w:r>
                      </w:p>
                      <w:p>
                        <w:pPr>
                          <w:pStyle w:val="13"/>
                          <w:jc w:val="center"/>
                          <w:rPr>
                            <w:rFonts w:ascii="宋体" w:hAnsi="宋体"/>
                            <w:sz w:val="24"/>
                            <w:lang w:val="en-US" w:eastAsia="zh-CN"/>
                          </w:rPr>
                        </w:pPr>
                        <w:r>
                          <w:rPr>
                            <w:rFonts w:hint="eastAsia" w:ascii="宋体" w:hAnsi="宋体"/>
                            <w:sz w:val="24"/>
                            <w:lang w:val="en-US" w:eastAsia="zh-CN"/>
                          </w:rPr>
                          <w:t>kV</w:t>
                        </w:r>
                      </w:p>
                    </w:tc>
                    <w:tc>
                      <w:tcPr>
                        <w:tcW w:w="1371" w:type="dxa"/>
                        <w:vAlign w:val="center"/>
                      </w:tcPr>
                      <w:p>
                        <w:pPr>
                          <w:pStyle w:val="13"/>
                          <w:jc w:val="center"/>
                          <w:rPr>
                            <w:rFonts w:ascii="宋体" w:hAnsi="宋体"/>
                            <w:sz w:val="24"/>
                            <w:lang w:val="en-US" w:eastAsia="zh-CN"/>
                          </w:rPr>
                        </w:pPr>
                        <w:r>
                          <w:rPr>
                            <w:rFonts w:hint="eastAsia" w:ascii="宋体" w:hAnsi="宋体"/>
                            <w:sz w:val="24"/>
                            <w:lang w:val="en-US" w:eastAsia="zh-CN"/>
                          </w:rPr>
                          <w:t>附加过滤</w:t>
                        </w:r>
                      </w:p>
                      <w:p>
                        <w:pPr>
                          <w:pStyle w:val="13"/>
                          <w:jc w:val="center"/>
                          <w:rPr>
                            <w:rFonts w:ascii="宋体" w:hAnsi="宋体"/>
                            <w:sz w:val="24"/>
                            <w:lang w:val="en-US" w:eastAsia="zh-CN"/>
                          </w:rPr>
                        </w:pPr>
                        <w:r>
                          <w:rPr>
                            <w:rFonts w:hint="eastAsia" w:ascii="宋体" w:hAnsi="宋体"/>
                            <w:sz w:val="24"/>
                            <w:lang w:val="en-US" w:eastAsia="zh-CN"/>
                          </w:rPr>
                          <w:t>mmAl</w:t>
                        </w:r>
                      </w:p>
                    </w:tc>
                    <w:tc>
                      <w:tcPr>
                        <w:tcW w:w="1371" w:type="dxa"/>
                        <w:vAlign w:val="center"/>
                      </w:tcPr>
                      <w:p>
                        <w:pPr>
                          <w:pStyle w:val="13"/>
                          <w:jc w:val="center"/>
                          <w:rPr>
                            <w:rFonts w:ascii="宋体" w:hAnsi="宋体"/>
                            <w:sz w:val="24"/>
                            <w:lang w:val="en-US" w:eastAsia="zh-CN"/>
                          </w:rPr>
                        </w:pPr>
                        <w:r>
                          <w:rPr>
                            <w:rFonts w:hint="eastAsia" w:ascii="宋体" w:hAnsi="宋体"/>
                            <w:sz w:val="24"/>
                            <w:lang w:val="en-US" w:eastAsia="zh-CN"/>
                          </w:rPr>
                          <w:t>HVL</w:t>
                        </w:r>
                      </w:p>
                      <w:p>
                        <w:pPr>
                          <w:pStyle w:val="13"/>
                          <w:jc w:val="center"/>
                          <w:rPr>
                            <w:rFonts w:ascii="宋体" w:hAnsi="宋体"/>
                            <w:sz w:val="24"/>
                            <w:lang w:val="en-US" w:eastAsia="zh-CN"/>
                          </w:rPr>
                        </w:pPr>
                        <w:r>
                          <w:rPr>
                            <w:rFonts w:hint="eastAsia" w:ascii="宋体" w:hAnsi="宋体"/>
                            <w:sz w:val="24"/>
                            <w:lang w:val="en-US" w:eastAsia="zh-CN"/>
                          </w:rPr>
                          <w:t>mmAl</w:t>
                        </w:r>
                      </w:p>
                    </w:tc>
                    <w:tc>
                      <w:tcPr>
                        <w:tcW w:w="1372" w:type="dxa"/>
                        <w:vAlign w:val="center"/>
                      </w:tcPr>
                      <w:p>
                        <w:pPr>
                          <w:pStyle w:val="13"/>
                          <w:jc w:val="center"/>
                          <w:rPr>
                            <w:rFonts w:ascii="宋体" w:hAnsi="宋体"/>
                            <w:sz w:val="24"/>
                            <w:lang w:val="en-US" w:eastAsia="zh-CN"/>
                          </w:rPr>
                        </w:pPr>
                        <w:r>
                          <w:rPr>
                            <w:position w:val="-14"/>
                            <w:sz w:val="24"/>
                            <w:lang w:val="en-US" w:eastAsia="zh-CN"/>
                          </w:rPr>
                          <w:object>
                            <v:shape id="_x0000_i1039" o:spt="75" type="#_x0000_t75" style="height:18.8pt;width:26.3pt;" o:ole="t" filled="f" o:preferrelative="t" stroked="f" coordsize="21600,21600">
                              <v:path/>
                              <v:fill on="f" focussize="0,0"/>
                              <v:stroke on="f" joinstyle="miter"/>
                              <v:imagedata r:id="rId45" o:title=""/>
                              <o:lock v:ext="edit" aspectratio="t"/>
                              <w10:wrap type="none"/>
                              <w10:anchorlock/>
                            </v:shape>
                            <o:OLEObject Type="Embed" ProgID="Equation.3" ShapeID="_x0000_i1039" DrawAspect="Content" ObjectID="_1468075739" r:id="rId44">
                              <o:LockedField>false</o:LockedField>
                            </o:OLEObject>
                          </w:object>
                        </w:r>
                      </w:p>
                    </w:tc>
                    <w:tc>
                      <w:tcPr>
                        <w:tcW w:w="1372" w:type="dxa"/>
                        <w:vAlign w:val="center"/>
                      </w:tcPr>
                      <w:p>
                        <w:pPr>
                          <w:pStyle w:val="13"/>
                          <w:jc w:val="center"/>
                          <w:rPr>
                            <w:sz w:val="24"/>
                            <w:lang w:val="en-US" w:eastAsia="zh-CN"/>
                          </w:rPr>
                        </w:pPr>
                        <w:r>
                          <w:rPr>
                            <w:position w:val="-12"/>
                            <w:sz w:val="24"/>
                            <w:lang w:val="en-US" w:eastAsia="zh-CN"/>
                          </w:rPr>
                          <w:object>
                            <v:shape id="_x0000_i1040" o:spt="75" type="#_x0000_t75" style="height:18.8pt;width:55.1pt;" o:ole="t" filled="f" o:preferrelative="t" stroked="f" coordsize="21600,21600">
                              <v:path/>
                              <v:fill on="f" focussize="0,0"/>
                              <v:stroke on="f" joinstyle="miter"/>
                              <v:imagedata r:id="rId47" o:title=""/>
                              <o:lock v:ext="edit" aspectratio="t"/>
                              <w10:wrap type="none"/>
                              <w10:anchorlock/>
                            </v:shape>
                            <o:OLEObject Type="Embed" ProgID="Equation.3" ShapeID="_x0000_i1040" DrawAspect="Content" ObjectID="_1468075740" r:id="rId46">
                              <o:LockedField>false</o:LockedField>
                            </o:OLEObject>
                          </w:object>
                        </w:r>
                      </w:p>
                      <w:p>
                        <w:pPr>
                          <w:pStyle w:val="13"/>
                          <w:jc w:val="center"/>
                          <w:rPr>
                            <w:rFonts w:ascii="宋体" w:hAnsi="宋体"/>
                            <w:sz w:val="24"/>
                            <w:lang w:val="en-US" w:eastAsia="zh-CN"/>
                          </w:rPr>
                        </w:pPr>
                        <w:r>
                          <w:rPr>
                            <w:rFonts w:hint="eastAsia"/>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1"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c>
                      <w:tcPr>
                        <w:tcW w:w="1372" w:type="dxa"/>
                      </w:tcPr>
                      <w:p>
                        <w:pPr>
                          <w:pStyle w:val="13"/>
                          <w:jc w:val="left"/>
                          <w:rPr>
                            <w:rFonts w:ascii="宋体" w:hAnsi="宋体"/>
                            <w:sz w:val="24"/>
                            <w:lang w:val="en-US" w:eastAsia="zh-CN"/>
                          </w:rPr>
                        </w:pPr>
                      </w:p>
                    </w:tc>
                  </w:tr>
                </w:tbl>
                <w:p>
                  <w:pPr>
                    <w:pStyle w:val="13"/>
                    <w:ind w:left="675"/>
                    <w:jc w:val="left"/>
                    <w:rPr>
                      <w:rFonts w:ascii="宋体" w:hAnsi="宋体"/>
                      <w:sz w:val="24"/>
                      <w:lang w:val="en-US" w:eastAsia="zh-CN"/>
                    </w:rPr>
                  </w:pPr>
                  <w:r>
                    <w:rPr>
                      <w:rFonts w:hint="eastAsia" w:ascii="宋体" w:hAnsi="宋体"/>
                      <w:sz w:val="24"/>
                      <w:lang w:val="en-US" w:eastAsia="zh-CN"/>
                    </w:rPr>
                    <w:t>（以下空白）</w:t>
                  </w:r>
                </w:p>
              </w:tc>
            </w:tr>
          </w:tbl>
          <w:p>
            <w:pPr>
              <w:pStyle w:val="13"/>
              <w:spacing w:after="0"/>
              <w:jc w:val="center"/>
              <w:rPr>
                <w:sz w:val="24"/>
                <w:lang w:val="en-US" w:eastAsia="zh-CN"/>
              </w:rPr>
            </w:pPr>
            <w:r>
              <w:rPr>
                <w:rFonts w:hint="eastAsia"/>
                <w:sz w:val="24"/>
                <w:lang w:val="en-US" w:eastAsia="zh-CN"/>
              </w:rPr>
              <w:t>第×页  共×页</w:t>
            </w:r>
          </w:p>
        </w:tc>
      </w:tr>
    </w:tbl>
    <w:p>
      <w:pPr>
        <w:pStyle w:val="6"/>
        <w:spacing w:before="0" w:after="0" w:line="240" w:lineRule="auto"/>
        <w:rPr>
          <w:rFonts w:ascii="黑体" w:hAnsi="黑体" w:eastAsia="黑体"/>
          <w:b w:val="0"/>
          <w:bCs w:val="0"/>
          <w:lang w:eastAsia="zh-CN"/>
        </w:rPr>
      </w:pPr>
      <w:r>
        <w:rPr>
          <w:sz w:val="24"/>
          <w:u w:val="single"/>
        </w:rPr>
        <w:br w:type="page"/>
      </w:r>
      <w:bookmarkStart w:id="55" w:name="_Toc334539526"/>
      <w:bookmarkStart w:id="56" w:name="_Toc490329534"/>
      <w:r>
        <w:rPr>
          <w:rFonts w:hint="eastAsia" w:ascii="黑体" w:hAnsi="黑体" w:eastAsia="黑体"/>
          <w:b w:val="0"/>
          <w:bCs w:val="0"/>
        </w:rPr>
        <w:t>附录D</w:t>
      </w:r>
      <w:bookmarkEnd w:id="55"/>
      <w:bookmarkEnd w:id="56"/>
    </w:p>
    <w:p>
      <w:pPr>
        <w:spacing w:after="312" w:afterLines="100"/>
        <w:jc w:val="center"/>
        <w:rPr>
          <w:rFonts w:ascii="黑体" w:eastAsia="黑体"/>
          <w:color w:val="000000"/>
          <w:sz w:val="24"/>
        </w:rPr>
      </w:pPr>
      <w:r>
        <w:rPr>
          <w:rFonts w:hint="eastAsia" w:ascii="黑体" w:eastAsia="黑体"/>
          <w:color w:val="000000"/>
          <w:sz w:val="24"/>
        </w:rPr>
        <w:t>乳腺诊断X射线剂量计校准因子不确定度评定示例</w:t>
      </w:r>
    </w:p>
    <w:p>
      <w:pPr>
        <w:rPr>
          <w:rFonts w:eastAsia="黑体"/>
          <w:color w:val="000000"/>
          <w:sz w:val="24"/>
        </w:rPr>
      </w:pPr>
      <w:r>
        <w:rPr>
          <w:rFonts w:hint="eastAsia" w:eastAsia="黑体"/>
          <w:color w:val="000000"/>
          <w:sz w:val="24"/>
        </w:rPr>
        <w:t>D</w:t>
      </w:r>
      <w:r>
        <w:rPr>
          <w:rFonts w:eastAsia="黑体"/>
          <w:color w:val="000000"/>
          <w:sz w:val="24"/>
        </w:rPr>
        <w:t xml:space="preserve">.1  </w:t>
      </w:r>
      <w:r>
        <w:rPr>
          <w:rFonts w:hint="eastAsia" w:eastAsia="黑体"/>
          <w:color w:val="000000"/>
          <w:sz w:val="24"/>
        </w:rPr>
        <w:t>测量条件与测量方法</w:t>
      </w:r>
    </w:p>
    <w:p>
      <w:pPr>
        <w:rPr>
          <w:rFonts w:eastAsia="黑体"/>
          <w:color w:val="000000"/>
          <w:sz w:val="24"/>
        </w:rPr>
      </w:pPr>
      <w:r>
        <w:rPr>
          <w:rFonts w:hint="eastAsia" w:eastAsia="黑体"/>
          <w:color w:val="000000"/>
          <w:sz w:val="24"/>
        </w:rPr>
        <w:t>D</w:t>
      </w:r>
      <w:r>
        <w:rPr>
          <w:rFonts w:eastAsia="黑体"/>
          <w:color w:val="000000"/>
          <w:sz w:val="24"/>
        </w:rPr>
        <w:t>.1</w:t>
      </w:r>
      <w:r>
        <w:rPr>
          <w:rFonts w:hint="eastAsia" w:eastAsia="黑体"/>
          <w:color w:val="000000"/>
          <w:sz w:val="24"/>
        </w:rPr>
        <w:t>.1</w:t>
      </w:r>
      <w:r>
        <w:rPr>
          <w:rFonts w:eastAsia="黑体"/>
          <w:color w:val="000000"/>
          <w:sz w:val="24"/>
        </w:rPr>
        <w:t xml:space="preserve">  </w:t>
      </w:r>
      <w:r>
        <w:rPr>
          <w:rFonts w:hint="eastAsia" w:eastAsia="黑体"/>
          <w:color w:val="000000"/>
          <w:sz w:val="24"/>
        </w:rPr>
        <w:t>环境条件</w:t>
      </w:r>
    </w:p>
    <w:p>
      <w:pPr>
        <w:spacing w:before="280" w:after="290"/>
        <w:rPr>
          <w:rFonts w:eastAsia="黑体"/>
          <w:color w:val="000000"/>
          <w:sz w:val="24"/>
        </w:rPr>
      </w:pPr>
      <w:r>
        <w:rPr>
          <w:rFonts w:hint="eastAsia" w:eastAsia="黑体"/>
          <w:color w:val="000000"/>
          <w:sz w:val="24"/>
        </w:rPr>
        <w:tab/>
      </w:r>
      <w:r>
        <w:rPr>
          <w:rFonts w:hint="eastAsia"/>
          <w:color w:val="000000"/>
          <w:sz w:val="24"/>
        </w:rPr>
        <w:t>实验室温度：（18~24）℃，环境大气压，相对湿度：30%~70%。</w:t>
      </w:r>
    </w:p>
    <w:p>
      <w:pPr>
        <w:spacing w:before="280" w:after="290"/>
        <w:rPr>
          <w:rFonts w:eastAsia="黑体"/>
          <w:color w:val="000000"/>
          <w:sz w:val="24"/>
        </w:rPr>
      </w:pPr>
      <w:r>
        <w:rPr>
          <w:rFonts w:hint="eastAsia" w:eastAsia="黑体"/>
          <w:color w:val="000000"/>
          <w:sz w:val="24"/>
        </w:rPr>
        <w:t>D.1.2</w:t>
      </w:r>
      <w:r>
        <w:rPr>
          <w:rFonts w:eastAsia="黑体"/>
          <w:color w:val="000000"/>
          <w:sz w:val="24"/>
        </w:rPr>
        <w:t xml:space="preserve">  </w:t>
      </w:r>
      <w:r>
        <w:rPr>
          <w:rFonts w:hint="eastAsia" w:eastAsia="黑体"/>
          <w:color w:val="000000"/>
          <w:sz w:val="24"/>
        </w:rPr>
        <w:t>测量标准</w:t>
      </w:r>
    </w:p>
    <w:p>
      <w:pPr>
        <w:spacing w:before="280" w:after="290"/>
        <w:rPr>
          <w:color w:val="000000"/>
          <w:sz w:val="24"/>
        </w:rPr>
      </w:pPr>
      <w:r>
        <w:rPr>
          <w:rFonts w:hint="eastAsia"/>
          <w:color w:val="000000"/>
          <w:sz w:val="24"/>
        </w:rPr>
        <w:tab/>
      </w:r>
      <w:r>
        <w:rPr>
          <w:rFonts w:hint="eastAsia"/>
          <w:color w:val="000000"/>
          <w:sz w:val="24"/>
        </w:rPr>
        <w:t>UNIDOS剂量计（T10022-000296）和TW34069-2.5-000147电离室。</w:t>
      </w:r>
    </w:p>
    <w:p>
      <w:pPr>
        <w:spacing w:before="280" w:after="290"/>
        <w:rPr>
          <w:color w:val="000000"/>
          <w:sz w:val="24"/>
        </w:rPr>
      </w:pPr>
      <w:r>
        <w:rPr>
          <w:rFonts w:hint="eastAsia"/>
          <w:color w:val="000000"/>
          <w:sz w:val="24"/>
        </w:rPr>
        <w:tab/>
      </w:r>
      <w:r>
        <w:rPr>
          <w:rFonts w:hint="eastAsia"/>
          <w:color w:val="000000"/>
          <w:sz w:val="24"/>
        </w:rPr>
        <w:t>测量范围：（6×10</w:t>
      </w:r>
      <w:r>
        <w:rPr>
          <w:rFonts w:hint="eastAsia"/>
          <w:color w:val="000000"/>
          <w:sz w:val="24"/>
          <w:vertAlign w:val="superscript"/>
        </w:rPr>
        <w:t>-5</w:t>
      </w:r>
      <w:r>
        <w:rPr>
          <w:rFonts w:hint="eastAsia"/>
          <w:color w:val="000000"/>
          <w:sz w:val="24"/>
        </w:rPr>
        <w:t>~1）Gy/min。</w:t>
      </w:r>
    </w:p>
    <w:p>
      <w:pPr>
        <w:spacing w:before="280" w:after="290"/>
        <w:rPr>
          <w:color w:val="000000"/>
          <w:sz w:val="24"/>
        </w:rPr>
      </w:pPr>
      <w:r>
        <w:rPr>
          <w:rFonts w:hint="eastAsia"/>
          <w:color w:val="000000"/>
          <w:sz w:val="24"/>
        </w:rPr>
        <w:tab/>
      </w:r>
      <w:r>
        <w:rPr>
          <w:rFonts w:hint="eastAsia"/>
          <w:color w:val="000000"/>
          <w:sz w:val="24"/>
        </w:rPr>
        <w:t>相对扩展不确定度：3.2%（</w:t>
      </w:r>
      <w:r>
        <w:rPr>
          <w:color w:val="000000"/>
          <w:position w:val="-6"/>
          <w:sz w:val="24"/>
        </w:rPr>
        <w:object>
          <v:shape id="_x0000_i1041" o:spt="75" type="#_x0000_t75" style="height:13.75pt;width:28.15pt;" o:ole="t" filled="f" o:preferrelative="t" stroked="f" coordsize="21600,21600">
            <v:path/>
            <v:fill on="f" focussize="0,0"/>
            <v:stroke on="f" joinstyle="miter"/>
            <v:imagedata r:id="rId49" o:title=""/>
            <o:lock v:ext="edit" aspectratio="t"/>
            <w10:wrap type="none"/>
            <w10:anchorlock/>
          </v:shape>
          <o:OLEObject Type="Embed" ProgID="Equation.3" ShapeID="_x0000_i1041" DrawAspect="Content" ObjectID="_1468075741" r:id="rId48">
            <o:LockedField>false</o:LockedField>
          </o:OLEObject>
        </w:object>
      </w:r>
      <w:r>
        <w:rPr>
          <w:rFonts w:hint="eastAsia"/>
          <w:color w:val="000000"/>
          <w:sz w:val="24"/>
        </w:rPr>
        <w:t>）。</w:t>
      </w:r>
    </w:p>
    <w:p>
      <w:pPr>
        <w:spacing w:before="280" w:after="290"/>
        <w:rPr>
          <w:rFonts w:eastAsia="黑体"/>
          <w:color w:val="000000"/>
          <w:sz w:val="24"/>
        </w:rPr>
      </w:pPr>
      <w:bookmarkStart w:id="57" w:name="OLE_LINK7"/>
      <w:r>
        <w:rPr>
          <w:rFonts w:hint="eastAsia" w:eastAsia="黑体"/>
          <w:color w:val="000000"/>
          <w:sz w:val="24"/>
        </w:rPr>
        <w:t>D.1.3</w:t>
      </w:r>
      <w:r>
        <w:rPr>
          <w:rFonts w:eastAsia="黑体"/>
          <w:color w:val="000000"/>
          <w:sz w:val="24"/>
        </w:rPr>
        <w:t xml:space="preserve">  </w:t>
      </w:r>
      <w:r>
        <w:rPr>
          <w:rFonts w:hint="eastAsia" w:eastAsia="黑体"/>
          <w:color w:val="000000"/>
          <w:sz w:val="24"/>
        </w:rPr>
        <w:t>测量参数</w:t>
      </w:r>
      <w:bookmarkEnd w:id="57"/>
    </w:p>
    <w:p>
      <w:pPr>
        <w:spacing w:before="280" w:after="290"/>
        <w:rPr>
          <w:rFonts w:eastAsia="黑体"/>
          <w:color w:val="000000"/>
          <w:sz w:val="24"/>
        </w:rPr>
      </w:pPr>
      <w:r>
        <w:rPr>
          <w:rFonts w:hint="eastAsia" w:eastAsia="黑体"/>
          <w:color w:val="000000"/>
          <w:sz w:val="24"/>
        </w:rPr>
        <w:tab/>
      </w:r>
      <w:r>
        <w:rPr>
          <w:rFonts w:hint="eastAsia"/>
          <w:color w:val="000000"/>
          <w:sz w:val="24"/>
        </w:rPr>
        <w:t>乳腺诊断X射线剂量计校准因子。</w:t>
      </w:r>
    </w:p>
    <w:p>
      <w:pPr>
        <w:spacing w:before="280" w:after="290"/>
        <w:rPr>
          <w:rFonts w:eastAsia="黑体"/>
          <w:color w:val="000000"/>
          <w:sz w:val="24"/>
        </w:rPr>
      </w:pPr>
      <w:r>
        <w:rPr>
          <w:rFonts w:hint="eastAsia" w:eastAsia="黑体"/>
          <w:color w:val="000000"/>
          <w:sz w:val="24"/>
        </w:rPr>
        <w:t>D.1.4</w:t>
      </w:r>
      <w:r>
        <w:rPr>
          <w:rFonts w:eastAsia="黑体"/>
          <w:color w:val="000000"/>
          <w:sz w:val="24"/>
        </w:rPr>
        <w:t xml:space="preserve">  </w:t>
      </w:r>
      <w:r>
        <w:rPr>
          <w:rFonts w:hint="eastAsia" w:eastAsia="黑体"/>
          <w:color w:val="000000"/>
          <w:sz w:val="24"/>
        </w:rPr>
        <w:t>测量方法</w:t>
      </w:r>
    </w:p>
    <w:p>
      <w:pPr>
        <w:spacing w:line="360" w:lineRule="auto"/>
        <w:rPr>
          <w:color w:val="000000"/>
          <w:sz w:val="24"/>
        </w:rPr>
      </w:pPr>
      <w:r>
        <w:rPr>
          <w:rFonts w:hint="eastAsia"/>
          <w:color w:val="000000"/>
          <w:sz w:val="24"/>
        </w:rPr>
        <w:tab/>
      </w:r>
      <w:r>
        <w:rPr>
          <w:rFonts w:hint="eastAsia"/>
          <w:color w:val="000000"/>
          <w:sz w:val="24"/>
        </w:rPr>
        <w:t>在距辐射源焦点1000 mm测试平面上。先用标准剂量计测量该点的空气比释动能标准值，然后将被校剂量计放置于同一位置，在同样的辐照条件下，测量其读数。由公式（D.1）计算被校剂量计的校准因子。</w:t>
      </w:r>
    </w:p>
    <w:p>
      <w:pPr>
        <w:spacing w:line="360" w:lineRule="auto"/>
        <w:rPr>
          <w:rFonts w:eastAsia="黑体"/>
          <w:color w:val="000000"/>
          <w:sz w:val="24"/>
        </w:rPr>
      </w:pPr>
      <w:r>
        <w:rPr>
          <w:rFonts w:hint="eastAsia" w:eastAsia="黑体"/>
          <w:color w:val="000000"/>
          <w:sz w:val="24"/>
        </w:rPr>
        <w:t>D.2  测量模型</w:t>
      </w:r>
    </w:p>
    <w:p>
      <w:pPr>
        <w:spacing w:line="360" w:lineRule="auto"/>
        <w:ind w:firstLine="3960" w:firstLineChars="1650"/>
        <w:rPr>
          <w:rFonts w:eastAsia="黑体"/>
          <w:color w:val="000000"/>
          <w:sz w:val="24"/>
        </w:rPr>
      </w:pPr>
      <w:r>
        <w:rPr>
          <w:rFonts w:eastAsia="黑体"/>
          <w:color w:val="000000"/>
          <w:position w:val="-24"/>
          <w:sz w:val="24"/>
        </w:rPr>
        <w:object>
          <v:shape id="_x0000_i1042" o:spt="75" type="#_x0000_t75" style="height:38.2pt;width:56.35pt;" o:ole="t" filled="f" o:preferrelative="t" stroked="f" coordsize="21600,21600">
            <v:path/>
            <v:fill on="f" focussize="0,0"/>
            <v:stroke on="f" joinstyle="miter"/>
            <v:imagedata r:id="rId51" o:title=""/>
            <o:lock v:ext="edit" aspectratio="t"/>
            <w10:wrap type="none"/>
            <w10:anchorlock/>
          </v:shape>
          <o:OLEObject Type="Embed" ProgID="Equation.3" ShapeID="_x0000_i1042" DrawAspect="Content" ObjectID="_1468075742" r:id="rId50">
            <o:LockedField>false</o:LockedField>
          </o:OLEObject>
        </w:object>
      </w:r>
      <w:r>
        <w:rPr>
          <w:rFonts w:hint="eastAsia" w:eastAsia="黑体"/>
          <w:color w:val="000000"/>
          <w:sz w:val="24"/>
        </w:rPr>
        <w:t xml:space="preserve">                      （D.1）</w:t>
      </w:r>
    </w:p>
    <w:p>
      <w:pPr>
        <w:spacing w:line="360" w:lineRule="auto"/>
        <w:rPr>
          <w:sz w:val="24"/>
        </w:rPr>
      </w:pPr>
      <w:r>
        <w:rPr>
          <w:rFonts w:hint="eastAsia"/>
          <w:sz w:val="24"/>
        </w:rPr>
        <w:t>式（D.1）中：</w:t>
      </w:r>
    </w:p>
    <w:p>
      <w:pPr>
        <w:spacing w:line="360" w:lineRule="auto"/>
        <w:ind w:firstLine="660" w:firstLineChars="275"/>
        <w:rPr>
          <w:sz w:val="24"/>
        </w:rPr>
      </w:pPr>
      <w:r>
        <w:rPr>
          <w:position w:val="-10"/>
          <w:sz w:val="24"/>
        </w:rPr>
        <w:object>
          <v:shape id="_x0000_i1043" o:spt="75" type="#_x0000_t75" style="height:24.4pt;width:17.55pt;" o:ole="t" filled="f" o:preferrelative="t" stroked="f" coordsize="21600,21600">
            <v:path/>
            <v:fill on="f" focussize="0,0"/>
            <v:stroke on="f" joinstyle="miter"/>
            <v:imagedata r:id="rId53" o:title=""/>
            <o:lock v:ext="edit" aspectratio="t"/>
            <w10:wrap type="none"/>
            <w10:anchorlock/>
          </v:shape>
          <o:OLEObject Type="Embed" ProgID="Equation.3" ShapeID="_x0000_i1043" DrawAspect="Content" ObjectID="_1468075743" r:id="rId52">
            <o:LockedField>false</o:LockedField>
          </o:OLEObject>
        </w:object>
      </w:r>
      <w:r>
        <w:rPr>
          <w:rFonts w:hint="eastAsia"/>
          <w:sz w:val="24"/>
        </w:rPr>
        <w:t>——标准剂量计得到的空气比释动能率标准值；</w:t>
      </w:r>
    </w:p>
    <w:p>
      <w:pPr>
        <w:spacing w:line="360" w:lineRule="auto"/>
        <w:rPr>
          <w:sz w:val="24"/>
        </w:rPr>
      </w:pPr>
      <w:r>
        <w:rPr>
          <w:rFonts w:hint="eastAsia"/>
          <w:sz w:val="24"/>
        </w:rPr>
        <w:t xml:space="preserve">      </w:t>
      </w:r>
      <w:r>
        <w:rPr>
          <w:position w:val="-4"/>
          <w:sz w:val="24"/>
        </w:rPr>
        <w:object>
          <v:shape id="_x0000_i1044" o:spt="75" type="#_x0000_t75" style="height:11.9pt;width:15.65pt;" o:ole="t" filled="f" o:preferrelative="t" stroked="f" coordsize="21600,21600">
            <v:path/>
            <v:fill on="f" focussize="0,0"/>
            <v:stroke on="f" joinstyle="miter"/>
            <v:imagedata r:id="rId55" o:title=""/>
            <o:lock v:ext="edit" aspectratio="t"/>
            <w10:wrap type="none"/>
            <w10:anchorlock/>
          </v:shape>
          <o:OLEObject Type="Embed" ProgID="Equation.3" ShapeID="_x0000_i1044" DrawAspect="Content" ObjectID="_1468075744" r:id="rId54">
            <o:LockedField>false</o:LockedField>
          </o:OLEObject>
        </w:object>
      </w:r>
      <w:r>
        <w:rPr>
          <w:rFonts w:hint="eastAsia"/>
          <w:sz w:val="24"/>
        </w:rPr>
        <w:t>——被校剂量计读数；</w:t>
      </w:r>
    </w:p>
    <w:p>
      <w:pPr>
        <w:spacing w:line="360" w:lineRule="auto"/>
        <w:ind w:left="1560" w:hanging="1560" w:hangingChars="650"/>
        <w:rPr>
          <w:sz w:val="24"/>
        </w:rPr>
      </w:pPr>
      <w:r>
        <w:rPr>
          <w:rFonts w:hint="eastAsia"/>
          <w:sz w:val="24"/>
        </w:rPr>
        <w:t xml:space="preserve">      </w:t>
      </w:r>
      <w:r>
        <w:rPr>
          <w:position w:val="-14"/>
          <w:sz w:val="24"/>
        </w:rPr>
        <w:object>
          <v:shape id="_x0000_i1045" o:spt="75" type="#_x0000_t75" style="height:18.8pt;width:26.3pt;" o:ole="t" filled="f" o:preferrelative="t" stroked="f" coordsize="21600,21600">
            <v:path/>
            <v:fill on="f" focussize="0,0"/>
            <v:stroke on="f" joinstyle="miter"/>
            <v:imagedata r:id="rId57" o:title=""/>
            <o:lock v:ext="edit" aspectratio="t"/>
            <w10:wrap type="none"/>
            <w10:anchorlock/>
          </v:shape>
          <o:OLEObject Type="Embed" ProgID="Equation.3" ShapeID="_x0000_i1045" DrawAspect="Content" ObjectID="_1468075745" r:id="rId56">
            <o:LockedField>false</o:LockedField>
          </o:OLEObject>
        </w:object>
      </w:r>
      <w:r>
        <w:rPr>
          <w:rFonts w:hint="eastAsia"/>
          <w:sz w:val="24"/>
        </w:rPr>
        <w:t>——辐射质Q的校准因子，Gy/div或Gy/C。</w:t>
      </w:r>
    </w:p>
    <w:p>
      <w:pPr>
        <w:spacing w:line="360" w:lineRule="auto"/>
        <w:rPr>
          <w:sz w:val="24"/>
        </w:rPr>
      </w:pPr>
      <w:r>
        <w:rPr>
          <w:rFonts w:hint="eastAsia"/>
          <w:sz w:val="24"/>
        </w:rPr>
        <w:t>参考条件下空气比释动能标准值</w:t>
      </w:r>
      <w:r>
        <w:rPr>
          <w:position w:val="-10"/>
          <w:sz w:val="24"/>
        </w:rPr>
        <w:object>
          <v:shape id="_x0000_i1046" o:spt="75" type="#_x0000_t75" style="height:17.55pt;width:15.65pt;" o:ole="t" filled="f" o:preferrelative="t" stroked="f" coordsize="21600,21600">
            <v:path/>
            <v:fill on="f" focussize="0,0"/>
            <v:stroke on="f" joinstyle="miter"/>
            <v:imagedata r:id="rId59" o:title=""/>
            <o:lock v:ext="edit" aspectratio="t"/>
            <w10:wrap type="none"/>
            <w10:anchorlock/>
          </v:shape>
          <o:OLEObject Type="Embed" ProgID="Equation.3" ShapeID="_x0000_i1046" DrawAspect="Content" ObjectID="_1468075746" r:id="rId58">
            <o:LockedField>false</o:LockedField>
          </o:OLEObject>
        </w:object>
      </w:r>
      <w:r>
        <w:rPr>
          <w:rFonts w:hint="eastAsia"/>
          <w:sz w:val="24"/>
        </w:rPr>
        <w:t>和被校剂量计读数计算如下：</w:t>
      </w:r>
    </w:p>
    <w:p>
      <w:pPr>
        <w:spacing w:line="360" w:lineRule="auto"/>
        <w:ind w:firstLine="960" w:firstLineChars="400"/>
        <w:rPr>
          <w:sz w:val="24"/>
        </w:rPr>
      </w:pPr>
      <w:r>
        <w:rPr>
          <w:position w:val="-28"/>
          <w:sz w:val="24"/>
        </w:rPr>
        <w:object>
          <v:shape id="_x0000_i1047" o:spt="75" type="#_x0000_t75" style="height:33.8pt;width:331.85pt;" o:ole="t" filled="f" o:preferrelative="t" stroked="f" coordsize="21600,21600">
            <v:path/>
            <v:fill on="f" focussize="0,0"/>
            <v:stroke on="f" joinstyle="miter"/>
            <v:imagedata r:id="rId61" o:title=""/>
            <o:lock v:ext="edit" aspectratio="t"/>
            <w10:wrap type="none"/>
            <w10:anchorlock/>
          </v:shape>
          <o:OLEObject Type="Embed" ProgID="Equation.3" ShapeID="_x0000_i1047" DrawAspect="Content" ObjectID="_1468075747" r:id="rId60">
            <o:LockedField>false</o:LockedField>
          </o:OLEObject>
        </w:object>
      </w:r>
      <w:r>
        <w:rPr>
          <w:rFonts w:hint="eastAsia"/>
          <w:position w:val="-28"/>
          <w:sz w:val="24"/>
        </w:rPr>
        <w:t xml:space="preserve"> </w:t>
      </w:r>
      <w:r>
        <w:rPr>
          <w:rFonts w:hint="eastAsia"/>
          <w:sz w:val="24"/>
        </w:rPr>
        <w:t>（D.2）</w:t>
      </w:r>
    </w:p>
    <w:p>
      <w:pPr>
        <w:spacing w:line="360" w:lineRule="auto"/>
        <w:ind w:left="1556" w:leftChars="741"/>
        <w:jc w:val="left"/>
        <w:rPr>
          <w:sz w:val="24"/>
        </w:rPr>
      </w:pPr>
      <w:r>
        <w:rPr>
          <w:position w:val="-30"/>
          <w:sz w:val="24"/>
        </w:rPr>
        <w:object>
          <v:shape id="_x0000_i1048" o:spt="75" type="#_x0000_t75" style="height:30.7pt;width:239.15pt;" o:ole="t" filled="f" o:preferrelative="t" stroked="f" coordsize="21600,21600">
            <v:path/>
            <v:fill on="f" focussize="0,0"/>
            <v:stroke on="f" joinstyle="miter"/>
            <v:imagedata r:id="rId63" o:title=""/>
            <o:lock v:ext="edit" aspectratio="t"/>
            <w10:wrap type="none"/>
            <w10:anchorlock/>
          </v:shape>
          <o:OLEObject Type="Embed" ProgID="Equation.3" ShapeID="_x0000_i1048" DrawAspect="Content" ObjectID="_1468075748" r:id="rId62">
            <o:LockedField>false</o:LockedField>
          </o:OLEObject>
        </w:object>
      </w:r>
      <w:r>
        <w:rPr>
          <w:rFonts w:hint="eastAsia"/>
          <w:sz w:val="24"/>
        </w:rPr>
        <w:t xml:space="preserve">         （D.3）</w:t>
      </w:r>
    </w:p>
    <w:p>
      <w:pPr>
        <w:spacing w:line="360" w:lineRule="auto"/>
        <w:rPr>
          <w:sz w:val="24"/>
        </w:rPr>
      </w:pPr>
      <w:r>
        <w:rPr>
          <w:rFonts w:hint="eastAsia"/>
          <w:sz w:val="24"/>
        </w:rPr>
        <w:t>式（D.2）和式（D.3）中：</w:t>
      </w:r>
    </w:p>
    <w:p>
      <w:pPr>
        <w:spacing w:line="360" w:lineRule="auto"/>
        <w:rPr>
          <w:sz w:val="24"/>
        </w:rPr>
      </w:pPr>
      <w:r>
        <w:rPr>
          <w:position w:val="-10"/>
          <w:sz w:val="24"/>
        </w:rPr>
        <w:object>
          <v:shape id="_x0000_i1049" o:spt="75" type="#_x0000_t75" style="height:17.55pt;width:18.8pt;" o:ole="t" filled="f" o:preferrelative="t" stroked="f" coordsize="21600,21600">
            <v:path/>
            <v:fill on="f" focussize="0,0"/>
            <v:stroke on="f" joinstyle="miter"/>
            <v:imagedata r:id="rId65" o:title=""/>
            <o:lock v:ext="edit" aspectratio="t"/>
            <w10:wrap type="none"/>
            <w10:anchorlock/>
          </v:shape>
          <o:OLEObject Type="Embed" ProgID="Equation.3" ShapeID="_x0000_i1049" DrawAspect="Content" ObjectID="_1468075749" r:id="rId64">
            <o:LockedField>false</o:LockedField>
          </o:OLEObject>
        </w:object>
      </w:r>
      <w:r>
        <w:rPr>
          <w:rFonts w:hint="eastAsia"/>
          <w:sz w:val="24"/>
        </w:rPr>
        <w:t>、</w:t>
      </w:r>
      <w:r>
        <w:rPr>
          <w:position w:val="-12"/>
          <w:sz w:val="24"/>
        </w:rPr>
        <w:object>
          <v:shape id="_x0000_i1050" o:spt="75" type="#_x0000_t75" style="height:18.8pt;width:19.4pt;" o:ole="t" filled="f" o:preferrelative="t" stroked="f" coordsize="21600,21600">
            <v:path/>
            <v:fill on="f" focussize="0,0"/>
            <v:stroke on="f" joinstyle="miter"/>
            <v:imagedata r:id="rId67" o:title=""/>
            <o:lock v:ext="edit" aspectratio="t"/>
            <w10:wrap type="none"/>
            <w10:anchorlock/>
          </v:shape>
          <o:OLEObject Type="Embed" ProgID="Equation.3" ShapeID="_x0000_i1050" DrawAspect="Content" ObjectID="_1468075750" r:id="rId66">
            <o:LockedField>false</o:LockedField>
          </o:OLEObject>
        </w:object>
      </w:r>
      <w:r>
        <w:rPr>
          <w:rFonts w:hint="eastAsia"/>
          <w:sz w:val="24"/>
        </w:rPr>
        <w:t>——分别为标准剂量计、被校剂量计的读数；</w:t>
      </w:r>
    </w:p>
    <w:p>
      <w:pPr>
        <w:spacing w:line="360" w:lineRule="auto"/>
        <w:rPr>
          <w:sz w:val="24"/>
        </w:rPr>
      </w:pPr>
      <w:r>
        <w:rPr>
          <w:position w:val="-14"/>
          <w:sz w:val="24"/>
        </w:rPr>
        <w:object>
          <v:shape id="_x0000_i1051" o:spt="75" type="#_x0000_t75" style="height:18.8pt;width:30.05pt;" o:ole="t" filled="f" o:preferrelative="t" stroked="f" coordsize="21600,21600">
            <v:path/>
            <v:fill on="f" focussize="0,0"/>
            <v:stroke on="f" joinstyle="miter"/>
            <v:imagedata r:id="rId69" o:title=""/>
            <o:lock v:ext="edit" aspectratio="t"/>
            <w10:wrap type="none"/>
            <w10:anchorlock/>
          </v:shape>
          <o:OLEObject Type="Embed" ProgID="Equation.3" ShapeID="_x0000_i1051" DrawAspect="Content" ObjectID="_1468075751" r:id="rId68">
            <o:LockedField>false</o:LockedField>
          </o:OLEObject>
        </w:object>
      </w:r>
      <w:r>
        <w:rPr>
          <w:rFonts w:hint="eastAsia"/>
          <w:sz w:val="24"/>
        </w:rPr>
        <w:t>——标准剂量计的校准因子；</w:t>
      </w:r>
    </w:p>
    <w:p>
      <w:pPr>
        <w:spacing w:line="360" w:lineRule="auto"/>
        <w:rPr>
          <w:sz w:val="24"/>
        </w:rPr>
      </w:pPr>
      <w:r>
        <w:rPr>
          <w:position w:val="-6"/>
          <w:sz w:val="24"/>
        </w:rPr>
        <w:object>
          <v:shape id="_x0000_i1052" o:spt="75" type="#_x0000_t75" style="height:11.9pt;width:6.25pt;" o:ole="t" filled="f" o:preferrelative="t" stroked="f" coordsize="21600,21600">
            <v:path/>
            <v:fill on="f" focussize="0,0"/>
            <v:stroke on="f" joinstyle="miter"/>
            <v:imagedata r:id="rId71" o:title=""/>
            <o:lock v:ext="edit" aspectratio="t"/>
            <w10:wrap type="none"/>
            <w10:anchorlock/>
          </v:shape>
          <o:OLEObject Type="Embed" ProgID="Equation.3" ShapeID="_x0000_i1052" DrawAspect="Content" ObjectID="_1468075752" r:id="rId70">
            <o:LockedField>false</o:LockedField>
          </o:OLEObject>
        </w:object>
      </w:r>
      <w:r>
        <w:rPr>
          <w:rFonts w:hint="eastAsia"/>
          <w:sz w:val="24"/>
        </w:rPr>
        <w:t>、</w:t>
      </w:r>
      <w:r>
        <w:rPr>
          <w:position w:val="-12"/>
          <w:sz w:val="24"/>
        </w:rPr>
        <w:object>
          <v:shape id="_x0000_i1053" o:spt="75" type="#_x0000_t75" style="height:18.8pt;width:11.25pt;" o:ole="t" filled="f" o:preferrelative="t" stroked="f" coordsize="21600,21600">
            <v:path/>
            <v:fill on="f" focussize="0,0"/>
            <v:stroke on="f" joinstyle="miter"/>
            <v:imagedata r:id="rId73" o:title=""/>
            <o:lock v:ext="edit" aspectratio="t"/>
            <w10:wrap type="none"/>
            <w10:anchorlock/>
          </v:shape>
          <o:OLEObject Type="Embed" ProgID="Equation.3" ShapeID="_x0000_i1053" DrawAspect="Content" ObjectID="_1468075753" r:id="rId72">
            <o:LockedField>false</o:LockedField>
          </o:OLEObject>
        </w:object>
      </w:r>
      <w:r>
        <w:rPr>
          <w:rFonts w:hint="eastAsia"/>
          <w:sz w:val="24"/>
        </w:rPr>
        <w:t>——分别为标准剂量计、被校剂量计测量时的温度；</w:t>
      </w:r>
    </w:p>
    <w:p>
      <w:pPr>
        <w:spacing w:line="360" w:lineRule="auto"/>
        <w:rPr>
          <w:sz w:val="24"/>
        </w:rPr>
      </w:pPr>
      <w:r>
        <w:rPr>
          <w:position w:val="-10"/>
          <w:sz w:val="24"/>
        </w:rPr>
        <w:object>
          <v:shape id="_x0000_i1054" o:spt="75" type="#_x0000_t75" style="height:11.9pt;width:11.9pt;" o:ole="t" filled="f" o:preferrelative="t" stroked="f" coordsize="21600,21600">
            <v:path/>
            <v:fill on="f" focussize="0,0"/>
            <v:stroke on="f" joinstyle="miter"/>
            <v:imagedata r:id="rId75" o:title=""/>
            <o:lock v:ext="edit" aspectratio="t"/>
            <w10:wrap type="none"/>
            <w10:anchorlock/>
          </v:shape>
          <o:OLEObject Type="Embed" ProgID="Equation.3" ShapeID="_x0000_i1054" DrawAspect="Content" ObjectID="_1468075754" r:id="rId74">
            <o:LockedField>false</o:LockedField>
          </o:OLEObject>
        </w:object>
      </w:r>
      <w:r>
        <w:rPr>
          <w:rFonts w:hint="eastAsia"/>
          <w:sz w:val="24"/>
        </w:rPr>
        <w:t>、</w:t>
      </w:r>
      <w:r>
        <w:rPr>
          <w:position w:val="-12"/>
          <w:sz w:val="24"/>
        </w:rPr>
        <w:object>
          <v:shape id="_x0000_i1055" o:spt="75" type="#_x0000_t75" style="height:18.8pt;width:15.05pt;" o:ole="t" filled="f" o:preferrelative="t" stroked="f" coordsize="21600,21600">
            <v:path/>
            <v:fill on="f" focussize="0,0"/>
            <v:stroke on="f" joinstyle="miter"/>
            <v:imagedata r:id="rId77" o:title=""/>
            <o:lock v:ext="edit" aspectratio="t"/>
            <w10:wrap type="none"/>
            <w10:anchorlock/>
          </v:shape>
          <o:OLEObject Type="Embed" ProgID="Equation.3" ShapeID="_x0000_i1055" DrawAspect="Content" ObjectID="_1468075755" r:id="rId76">
            <o:LockedField>false</o:LockedField>
          </o:OLEObject>
        </w:object>
      </w:r>
      <w:r>
        <w:rPr>
          <w:rFonts w:hint="eastAsia"/>
          <w:sz w:val="24"/>
        </w:rPr>
        <w:t>——分别为标准剂量计、被校剂量计测量时的气压；</w:t>
      </w:r>
    </w:p>
    <w:p>
      <w:pPr>
        <w:spacing w:line="360" w:lineRule="auto"/>
        <w:ind w:left="1560" w:hanging="1560" w:hangingChars="650"/>
        <w:rPr>
          <w:position w:val="-12"/>
          <w:sz w:val="24"/>
        </w:rPr>
      </w:pPr>
      <w:r>
        <w:rPr>
          <w:position w:val="-12"/>
          <w:sz w:val="24"/>
        </w:rPr>
        <w:object>
          <v:shape id="_x0000_i1056" o:spt="75" type="#_x0000_t75" style="height:17.55pt;width:13.75pt;" o:ole="t" filled="f" o:preferrelative="t" stroked="f" coordsize="21600,21600">
            <v:path/>
            <v:fill on="f" focussize="0,0"/>
            <v:stroke on="f" joinstyle="miter"/>
            <v:imagedata r:id="rId79" o:title=""/>
            <o:lock v:ext="edit" aspectratio="t"/>
            <w10:wrap type="none"/>
            <w10:anchorlock/>
          </v:shape>
          <o:OLEObject Type="Embed" ProgID="Equation.3" ShapeID="_x0000_i1056" DrawAspect="Content" ObjectID="_1468075756" r:id="rId78">
            <o:LockedField>false</o:LockedField>
          </o:OLEObject>
        </w:object>
      </w:r>
      <w:r>
        <w:rPr>
          <w:sz w:val="24"/>
        </w:rPr>
        <w:t>——</w:t>
      </w:r>
      <w:r>
        <w:rPr>
          <w:rFonts w:hint="eastAsia"/>
          <w:sz w:val="24"/>
        </w:rPr>
        <w:t>被校剂量计相对于标准剂量计位置引起的相对测量误差；</w:t>
      </w:r>
    </w:p>
    <w:p>
      <w:pPr>
        <w:spacing w:line="360" w:lineRule="auto"/>
        <w:ind w:left="1560" w:hanging="1560" w:hangingChars="650"/>
        <w:rPr>
          <w:sz w:val="24"/>
        </w:rPr>
      </w:pPr>
      <w:r>
        <w:rPr>
          <w:position w:val="-12"/>
          <w:sz w:val="24"/>
        </w:rPr>
        <w:object>
          <v:shape id="_x0000_i1057" o:spt="75" type="#_x0000_t75" style="height:18.8pt;width:15.65pt;" o:ole="t" filled="f" o:preferrelative="t" stroked="f" coordsize="21600,21600">
            <v:path/>
            <v:fill on="f" focussize="0,0"/>
            <v:stroke on="f" joinstyle="miter"/>
            <v:imagedata r:id="rId81" o:title=""/>
            <o:lock v:ext="edit" aspectratio="t"/>
            <w10:wrap type="none"/>
            <w10:anchorlock/>
          </v:shape>
          <o:OLEObject Type="Embed" ProgID="Equation.3" ShapeID="_x0000_i1057" DrawAspect="Content" ObjectID="_1468075757" r:id="rId80">
            <o:LockedField>false</o:LockedField>
          </o:OLEObject>
        </w:object>
      </w:r>
      <w:r>
        <w:rPr>
          <w:sz w:val="24"/>
        </w:rPr>
        <w:t>——</w:t>
      </w:r>
      <w:r>
        <w:rPr>
          <w:rFonts w:hint="eastAsia"/>
          <w:sz w:val="24"/>
        </w:rPr>
        <w:t>标准剂量计稳定性产生的相对测量误差；</w:t>
      </w:r>
    </w:p>
    <w:p>
      <w:pPr>
        <w:spacing w:line="360" w:lineRule="auto"/>
        <w:ind w:left="1560" w:hanging="1560" w:hangingChars="650"/>
        <w:rPr>
          <w:sz w:val="24"/>
        </w:rPr>
      </w:pPr>
      <w:r>
        <w:rPr>
          <w:position w:val="-14"/>
          <w:sz w:val="24"/>
        </w:rPr>
        <w:object>
          <v:shape id="_x0000_i1058" o:spt="75" type="#_x0000_t75" style="height:18.8pt;width:17.55pt;" o:ole="t" filled="f" o:preferrelative="t" stroked="f" coordsize="21600,21600">
            <v:path/>
            <v:fill on="f" focussize="0,0"/>
            <v:stroke on="f" joinstyle="miter"/>
            <v:imagedata r:id="rId83" o:title=""/>
            <o:lock v:ext="edit" aspectratio="t"/>
            <w10:wrap type="none"/>
            <w10:anchorlock/>
          </v:shape>
          <o:OLEObject Type="Embed" ProgID="Equation.3" ShapeID="_x0000_i1058" DrawAspect="Content" ObjectID="_1468075758" r:id="rId82">
            <o:LockedField>false</o:LockedField>
          </o:OLEObject>
        </w:object>
      </w:r>
      <w:r>
        <w:rPr>
          <w:rFonts w:hint="eastAsia"/>
          <w:sz w:val="24"/>
        </w:rPr>
        <w:t>、</w:t>
      </w:r>
      <w:bookmarkStart w:id="58" w:name="OLE_LINK3"/>
      <w:bookmarkStart w:id="59" w:name="OLE_LINK4"/>
      <w:r>
        <w:rPr>
          <w:position w:val="-14"/>
          <w:sz w:val="24"/>
        </w:rPr>
        <w:object>
          <v:shape id="_x0000_i1059" o:spt="75" type="#_x0000_t75" style="height:18.8pt;width:18.8pt;" o:ole="t" filled="f" o:preferrelative="t" stroked="f" coordsize="21600,21600">
            <v:path/>
            <v:fill on="f" focussize="0,0"/>
            <v:stroke on="f" joinstyle="miter"/>
            <v:imagedata r:id="rId85" o:title=""/>
            <o:lock v:ext="edit" aspectratio="t"/>
            <w10:wrap type="none"/>
            <w10:anchorlock/>
          </v:shape>
          <o:OLEObject Type="Embed" ProgID="Equation.3" ShapeID="_x0000_i1059" DrawAspect="Content" ObjectID="_1468075759" r:id="rId84">
            <o:LockedField>false</o:LockedField>
          </o:OLEObject>
        </w:object>
      </w:r>
      <w:bookmarkEnd w:id="58"/>
      <w:bookmarkEnd w:id="59"/>
      <w:r>
        <w:rPr>
          <w:sz w:val="24"/>
        </w:rPr>
        <w:t>——</w:t>
      </w:r>
      <w:r>
        <w:rPr>
          <w:rFonts w:hint="eastAsia"/>
          <w:sz w:val="24"/>
        </w:rPr>
        <w:t>分别为标准剂量计、被校剂量计漏电效应产生的相对测量误差；</w:t>
      </w:r>
    </w:p>
    <w:p>
      <w:pPr>
        <w:spacing w:line="360" w:lineRule="auto"/>
        <w:ind w:left="1560" w:hanging="1560" w:hangingChars="650"/>
        <w:rPr>
          <w:sz w:val="24"/>
        </w:rPr>
      </w:pPr>
      <w:r>
        <w:rPr>
          <w:position w:val="-14"/>
          <w:sz w:val="24"/>
        </w:rPr>
        <w:object>
          <v:shape id="_x0000_i1060" o:spt="75" type="#_x0000_t75" style="height:18.8pt;width:18.8pt;" o:ole="t" filled="f" o:preferrelative="t" stroked="f" coordsize="21600,21600">
            <v:path/>
            <v:fill on="f" focussize="0,0"/>
            <v:stroke on="f" joinstyle="miter"/>
            <v:imagedata r:id="rId87" o:title=""/>
            <o:lock v:ext="edit" aspectratio="t"/>
            <w10:wrap type="none"/>
            <w10:anchorlock/>
          </v:shape>
          <o:OLEObject Type="Embed" ProgID="Equation.3" ShapeID="_x0000_i1060" DrawAspect="Content" ObjectID="_1468075760" r:id="rId86">
            <o:LockedField>false</o:LockedField>
          </o:OLEObject>
        </w:object>
      </w:r>
      <w:r>
        <w:rPr>
          <w:sz w:val="24"/>
        </w:rPr>
        <w:t>——</w:t>
      </w:r>
      <w:r>
        <w:rPr>
          <w:rFonts w:hint="eastAsia"/>
          <w:sz w:val="24"/>
        </w:rPr>
        <w:t>被校剂量计测量时间引起的相对测量误差；</w:t>
      </w:r>
    </w:p>
    <w:p>
      <w:pPr>
        <w:spacing w:line="360" w:lineRule="auto"/>
        <w:ind w:left="1560" w:hanging="1560" w:hangingChars="650"/>
        <w:rPr>
          <w:sz w:val="24"/>
        </w:rPr>
      </w:pPr>
      <w:r>
        <w:rPr>
          <w:position w:val="-12"/>
          <w:sz w:val="24"/>
        </w:rPr>
        <w:object>
          <v:shape id="_x0000_i1061" o:spt="75" type="#_x0000_t75" style="height:18.8pt;width:13.75pt;" o:ole="t" filled="f" o:preferrelative="t" stroked="f" coordsize="21600,21600">
            <v:path/>
            <v:fill on="f" focussize="0,0"/>
            <v:stroke on="f" joinstyle="miter"/>
            <v:imagedata r:id="rId89" o:title=""/>
            <o:lock v:ext="edit" aspectratio="t"/>
            <w10:wrap type="none"/>
            <w10:anchorlock/>
          </v:shape>
          <o:OLEObject Type="Embed" ProgID="Equation.3" ShapeID="_x0000_i1061" DrawAspect="Content" ObjectID="_1468075761" r:id="rId88">
            <o:LockedField>false</o:LockedField>
          </o:OLEObject>
        </w:object>
      </w:r>
      <w:r>
        <w:rPr>
          <w:sz w:val="24"/>
        </w:rPr>
        <w:t>——</w:t>
      </w:r>
      <w:r>
        <w:rPr>
          <w:rFonts w:hint="eastAsia"/>
          <w:sz w:val="24"/>
        </w:rPr>
        <w:t>标准剂量计能响产生的相对测量误差；</w:t>
      </w:r>
    </w:p>
    <w:p>
      <w:pPr>
        <w:spacing w:line="360" w:lineRule="auto"/>
        <w:ind w:left="1560" w:hanging="1560" w:hangingChars="650"/>
        <w:rPr>
          <w:sz w:val="24"/>
        </w:rPr>
      </w:pPr>
      <w:r>
        <w:rPr>
          <w:position w:val="-14"/>
          <w:sz w:val="24"/>
        </w:rPr>
        <w:object>
          <v:shape id="_x0000_i1062" o:spt="75" type="#_x0000_t75" style="height:18.8pt;width:18.8pt;" o:ole="t" filled="f" o:preferrelative="t" stroked="f" coordsize="21600,21600">
            <v:path/>
            <v:fill on="f" focussize="0,0"/>
            <v:stroke on="f" joinstyle="miter"/>
            <v:imagedata r:id="rId91" o:title=""/>
            <o:lock v:ext="edit" aspectratio="t"/>
            <w10:wrap type="none"/>
            <w10:anchorlock/>
          </v:shape>
          <o:OLEObject Type="Embed" ProgID="Equation.3" ShapeID="_x0000_i1062" DrawAspect="Content" ObjectID="_1468075762" r:id="rId90">
            <o:LockedField>false</o:LockedField>
          </o:OLEObject>
        </w:object>
      </w:r>
      <w:r>
        <w:rPr>
          <w:sz w:val="24"/>
        </w:rPr>
        <w:t>——</w:t>
      </w:r>
      <w:r>
        <w:rPr>
          <w:rFonts w:hint="eastAsia"/>
          <w:sz w:val="24"/>
        </w:rPr>
        <w:t>分别为标准剂量计、被校剂量计其它项产生的相对测量误差；</w:t>
      </w:r>
    </w:p>
    <w:p>
      <w:pPr>
        <w:spacing w:line="360" w:lineRule="auto"/>
        <w:ind w:left="1560" w:hanging="1560" w:hangingChars="650"/>
        <w:rPr>
          <w:sz w:val="24"/>
        </w:rPr>
      </w:pPr>
    </w:p>
    <w:p>
      <w:pPr>
        <w:spacing w:line="360" w:lineRule="auto"/>
        <w:ind w:left="1560" w:hanging="1560" w:hangingChars="650"/>
        <w:rPr>
          <w:rFonts w:eastAsia="黑体"/>
          <w:color w:val="000000"/>
          <w:sz w:val="24"/>
        </w:rPr>
      </w:pPr>
      <w:r>
        <w:rPr>
          <w:rFonts w:hint="eastAsia" w:eastAsia="黑体"/>
          <w:color w:val="000000"/>
          <w:sz w:val="24"/>
        </w:rPr>
        <w:t>D.3  不确定度分析</w:t>
      </w:r>
    </w:p>
    <w:p>
      <w:pPr>
        <w:spacing w:line="360" w:lineRule="auto"/>
        <w:rPr>
          <w:sz w:val="24"/>
        </w:rPr>
      </w:pPr>
      <w:r>
        <w:rPr>
          <w:rFonts w:hint="eastAsia"/>
          <w:sz w:val="24"/>
        </w:rPr>
        <w:tab/>
      </w:r>
      <w:r>
        <w:rPr>
          <w:rFonts w:hint="eastAsia"/>
          <w:sz w:val="24"/>
        </w:rPr>
        <w:t>由式（D.1）可知，标准剂量计得到的空气比释动能标准值</w:t>
      </w:r>
      <w:r>
        <w:rPr>
          <w:position w:val="-10"/>
          <w:sz w:val="24"/>
        </w:rPr>
        <w:object>
          <v:shape id="_x0000_i1063" o:spt="75" type="#_x0000_t75" style="height:17.55pt;width:15.65pt;" o:ole="t" filled="f" o:preferrelative="t" stroked="f" coordsize="21600,21600">
            <v:path/>
            <v:fill on="f" focussize="0,0"/>
            <v:stroke on="f" joinstyle="miter"/>
            <v:imagedata r:id="rId93" o:title=""/>
            <o:lock v:ext="edit" aspectratio="t"/>
            <w10:wrap type="none"/>
            <w10:anchorlock/>
          </v:shape>
          <o:OLEObject Type="Embed" ProgID="Equation.3" ShapeID="_x0000_i1063" DrawAspect="Content" ObjectID="_1468075763" r:id="rId92">
            <o:LockedField>false</o:LockedField>
          </o:OLEObject>
        </w:object>
      </w:r>
      <w:r>
        <w:rPr>
          <w:rFonts w:hint="eastAsia"/>
          <w:sz w:val="24"/>
        </w:rPr>
        <w:t>，被校剂量计的测量平均值</w:t>
      </w:r>
      <w:r>
        <w:rPr>
          <w:position w:val="-4"/>
          <w:sz w:val="24"/>
        </w:rPr>
        <w:object>
          <v:shape id="_x0000_i1064" o:spt="75" type="#_x0000_t75" style="height:15.05pt;width:15.65pt;" o:ole="t" filled="f" o:preferrelative="t" stroked="f" coordsize="21600,21600">
            <v:path/>
            <v:fill on="f" focussize="0,0"/>
            <v:stroke on="f" joinstyle="miter"/>
            <v:imagedata r:id="rId95" o:title=""/>
            <o:lock v:ext="edit" aspectratio="t"/>
            <w10:wrap type="none"/>
            <w10:anchorlock/>
          </v:shape>
          <o:OLEObject Type="Embed" ProgID="Equation.3" ShapeID="_x0000_i1064" DrawAspect="Content" ObjectID="_1468075764" r:id="rId94">
            <o:LockedField>false</o:LockedField>
          </o:OLEObject>
        </w:object>
      </w:r>
      <w:r>
        <w:rPr>
          <w:rFonts w:hint="eastAsia"/>
          <w:sz w:val="24"/>
        </w:rPr>
        <w:t>、均可引入不确定度分量，但各分量彼此独立，据式（D.1）有相对合成不确定度</w:t>
      </w:r>
      <w:r>
        <w:rPr>
          <w:position w:val="-12"/>
          <w:sz w:val="24"/>
        </w:rPr>
        <w:object>
          <v:shape id="_x0000_i1065" o:spt="75" type="#_x0000_t75" style="height:18.8pt;width:21.3pt;" o:ole="t" filled="f" o:preferrelative="t" stroked="f" coordsize="21600,21600">
            <v:path/>
            <v:fill on="f" focussize="0,0"/>
            <v:stroke on="f" joinstyle="miter"/>
            <v:imagedata r:id="rId97" o:title=""/>
            <o:lock v:ext="edit" aspectratio="t"/>
            <w10:wrap type="none"/>
            <w10:anchorlock/>
          </v:shape>
          <o:OLEObject Type="Embed" ProgID="Equation.3" ShapeID="_x0000_i1065" DrawAspect="Content" ObjectID="_1468075765" r:id="rId96">
            <o:LockedField>false</o:LockedField>
          </o:OLEObject>
        </w:object>
      </w:r>
    </w:p>
    <w:p>
      <w:pPr>
        <w:spacing w:line="360" w:lineRule="auto"/>
        <w:ind w:firstLine="1920" w:firstLineChars="800"/>
        <w:jc w:val="left"/>
        <w:rPr>
          <w:sz w:val="24"/>
        </w:rPr>
      </w:pPr>
      <w:r>
        <w:rPr>
          <w:position w:val="-12"/>
          <w:sz w:val="24"/>
        </w:rPr>
        <w:object>
          <v:shape id="_x0000_i1066" o:spt="75" type="#_x0000_t75" style="height:18.8pt;width:19.4pt;" o:ole="t" filled="f" o:preferrelative="t" stroked="f" coordsize="21600,21600">
            <v:path/>
            <v:fill on="f" focussize="0,0"/>
            <v:stroke on="f" joinstyle="miter"/>
            <v:imagedata r:id="rId99" o:title=""/>
            <o:lock v:ext="edit" aspectratio="t"/>
            <w10:wrap type="none"/>
            <w10:anchorlock/>
          </v:shape>
          <o:OLEObject Type="Embed" ProgID="Equation.3" ShapeID="_x0000_i1066" DrawAspect="Content" ObjectID="_1468075766" r:id="rId98">
            <o:LockedField>false</o:LockedField>
          </o:OLEObject>
        </w:object>
      </w:r>
      <w:r>
        <w:rPr>
          <w:rFonts w:hint="eastAsia"/>
          <w:sz w:val="24"/>
        </w:rPr>
        <w:t>（</w:t>
      </w:r>
      <w:r>
        <w:rPr>
          <w:position w:val="-14"/>
          <w:sz w:val="24"/>
        </w:rPr>
        <w:object>
          <v:shape id="_x0000_i1067" o:spt="75" type="#_x0000_t75" style="height:18.8pt;width:26.3pt;" o:ole="t" filled="f" o:preferrelative="t" stroked="f" coordsize="21600,21600">
            <v:path/>
            <v:fill on="f" focussize="0,0"/>
            <v:stroke on="f" joinstyle="miter"/>
            <v:imagedata r:id="rId57" o:title=""/>
            <o:lock v:ext="edit" aspectratio="t"/>
            <w10:wrap type="none"/>
            <w10:anchorlock/>
          </v:shape>
          <o:OLEObject Type="Embed" ProgID="Equation.3" ShapeID="_x0000_i1067" DrawAspect="Content" ObjectID="_1468075767" r:id="rId100">
            <o:LockedField>false</o:LockedField>
          </o:OLEObject>
        </w:object>
      </w:r>
      <w:r>
        <w:rPr>
          <w:rFonts w:hint="eastAsia"/>
          <w:sz w:val="24"/>
        </w:rPr>
        <w:t>）=</w:t>
      </w:r>
      <w:r>
        <w:rPr>
          <w:position w:val="-14"/>
          <w:sz w:val="24"/>
        </w:rPr>
        <w:object>
          <v:shape id="_x0000_i1068" o:spt="75" type="#_x0000_t75" style="height:23.15pt;width:108.3pt;" o:ole="t" filled="f" o:preferrelative="t" stroked="f" coordsize="21600,21600">
            <v:path/>
            <v:fill on="f" focussize="0,0"/>
            <v:stroke on="f" joinstyle="miter"/>
            <v:imagedata r:id="rId102" o:title=""/>
            <o:lock v:ext="edit" aspectratio="t"/>
            <w10:wrap type="none"/>
            <w10:anchorlock/>
          </v:shape>
          <o:OLEObject Type="Embed" ProgID="Equation.3" ShapeID="_x0000_i1068" DrawAspect="Content" ObjectID="_1468075768" r:id="rId101">
            <o:LockedField>false</o:LockedField>
          </o:OLEObject>
        </w:object>
      </w:r>
      <w:r>
        <w:rPr>
          <w:rFonts w:hint="eastAsia"/>
          <w:sz w:val="24"/>
        </w:rPr>
        <w:t xml:space="preserve">                </w:t>
      </w:r>
      <w:r>
        <w:rPr>
          <w:rFonts w:hint="eastAsia" w:eastAsia="黑体"/>
          <w:color w:val="000000"/>
          <w:sz w:val="24"/>
        </w:rPr>
        <w:t>（D.4）</w:t>
      </w:r>
    </w:p>
    <w:p>
      <w:pPr>
        <w:spacing w:line="360" w:lineRule="auto"/>
        <w:jc w:val="left"/>
        <w:rPr>
          <w:sz w:val="24"/>
        </w:rPr>
      </w:pPr>
    </w:p>
    <w:p>
      <w:pPr>
        <w:spacing w:line="360" w:lineRule="auto"/>
        <w:jc w:val="left"/>
        <w:rPr>
          <w:rFonts w:eastAsia="黑体"/>
          <w:color w:val="000000"/>
          <w:sz w:val="24"/>
        </w:rPr>
      </w:pPr>
      <w:r>
        <w:rPr>
          <w:rFonts w:hint="eastAsia" w:eastAsia="黑体"/>
          <w:color w:val="000000"/>
          <w:sz w:val="24"/>
        </w:rPr>
        <w:t>D.3.1  空气比释动能标准值测量引入的标准不确定度</w:t>
      </w:r>
    </w:p>
    <w:p>
      <w:pPr>
        <w:spacing w:line="360" w:lineRule="auto"/>
        <w:ind w:firstLine="420"/>
        <w:jc w:val="left"/>
        <w:rPr>
          <w:position w:val="-12"/>
          <w:sz w:val="24"/>
        </w:rPr>
      </w:pPr>
      <w:r>
        <w:rPr>
          <w:rFonts w:hint="eastAsia"/>
          <w:position w:val="-12"/>
          <w:sz w:val="24"/>
        </w:rPr>
        <w:t>通过处理D.2式，可以得到复现空气比释动能标准值的相对标准不确定度，计算如下：</w:t>
      </w:r>
    </w:p>
    <w:p>
      <w:pPr>
        <w:spacing w:line="360" w:lineRule="auto"/>
        <w:jc w:val="center"/>
        <w:rPr>
          <w:rFonts w:eastAsia="黑体"/>
          <w:color w:val="000000"/>
          <w:sz w:val="24"/>
        </w:rPr>
      </w:pPr>
      <w:r>
        <w:rPr>
          <w:position w:val="-34"/>
          <w:sz w:val="24"/>
        </w:rPr>
        <w:object>
          <v:shape id="_x0000_i1069" o:spt="75" type="#_x0000_t75" style="height:39.45pt;width:366.25pt;" o:ole="t" filled="f" o:preferrelative="t" stroked="f" coordsize="21600,21600">
            <v:path/>
            <v:fill on="f" focussize="0,0"/>
            <v:stroke on="f" joinstyle="miter"/>
            <v:imagedata r:id="rId104" o:title=""/>
            <o:lock v:ext="edit" aspectratio="t"/>
            <w10:wrap type="none"/>
            <w10:anchorlock/>
          </v:shape>
          <o:OLEObject Type="Embed" ProgID="Equation.3" ShapeID="_x0000_i1069" DrawAspect="Content" ObjectID="_1468075769" r:id="rId103">
            <o:LockedField>false</o:LockedField>
          </o:OLEObject>
        </w:object>
      </w:r>
    </w:p>
    <w:p>
      <w:pPr>
        <w:spacing w:line="360" w:lineRule="auto"/>
        <w:jc w:val="left"/>
        <w:rPr>
          <w:position w:val="-12"/>
          <w:sz w:val="24"/>
        </w:rPr>
      </w:pPr>
      <w:r>
        <w:rPr>
          <w:rFonts w:hint="eastAsia" w:eastAsia="黑体"/>
          <w:color w:val="000000"/>
          <w:sz w:val="24"/>
        </w:rPr>
        <w:t>D.3.1.1</w:t>
      </w:r>
      <w:r>
        <w:rPr>
          <w:rFonts w:hint="eastAsia"/>
          <w:sz w:val="24"/>
        </w:rPr>
        <w:t xml:space="preserve">  标准剂量计测量读数引入的相对标准不确定度</w:t>
      </w:r>
      <w:r>
        <w:rPr>
          <w:position w:val="-12"/>
          <w:sz w:val="24"/>
        </w:rPr>
        <w:object>
          <v:shape id="_x0000_i1070" o:spt="75" type="#_x0000_t75" style="height:18.8pt;width:43.85pt;" o:ole="t" filled="f" o:preferrelative="t" stroked="f" coordsize="21600,21600">
            <v:path/>
            <v:fill on="f" focussize="0,0"/>
            <v:stroke on="f" joinstyle="miter"/>
            <v:imagedata r:id="rId106" o:title=""/>
            <o:lock v:ext="edit" aspectratio="t"/>
            <w10:wrap type="none"/>
            <w10:anchorlock/>
          </v:shape>
          <o:OLEObject Type="Embed" ProgID="Equation.3" ShapeID="_x0000_i1070" DrawAspect="Content" ObjectID="_1468075770" r:id="rId105">
            <o:LockedField>false</o:LockedField>
          </o:OLEObject>
        </w:object>
      </w:r>
    </w:p>
    <w:p>
      <w:pPr>
        <w:spacing w:line="360" w:lineRule="auto"/>
        <w:ind w:firstLine="420"/>
        <w:jc w:val="left"/>
        <w:rPr>
          <w:position w:val="-12"/>
          <w:sz w:val="24"/>
        </w:rPr>
      </w:pPr>
      <w:r>
        <w:rPr>
          <w:rFonts w:hint="eastAsia"/>
          <w:position w:val="-12"/>
          <w:sz w:val="24"/>
        </w:rPr>
        <w:t>标准剂量计测量读数的不确定度由测量重复性给出。依据本规范的要求10次测量</w:t>
      </w:r>
      <w:r>
        <w:rPr>
          <w:rFonts w:hint="eastAsia"/>
          <w:sz w:val="24"/>
        </w:rPr>
        <w:t>不超过0.5%，因此。标准剂量计的测量不确定度</w:t>
      </w:r>
      <w:r>
        <w:rPr>
          <w:position w:val="-12"/>
          <w:sz w:val="24"/>
        </w:rPr>
        <w:object>
          <v:shape id="_x0000_i1071" o:spt="75" type="#_x0000_t75" style="height:20.65pt;width:147.15pt;" o:ole="t" filled="f" o:preferrelative="t" stroked="f" coordsize="21600,21600">
            <v:path/>
            <v:fill on="f" focussize="0,0"/>
            <v:stroke on="f" joinstyle="miter"/>
            <v:imagedata r:id="rId108" o:title=""/>
            <o:lock v:ext="edit" aspectratio="t"/>
            <w10:wrap type="none"/>
            <w10:anchorlock/>
          </v:shape>
          <o:OLEObject Type="Embed" ProgID="Equation.3" ShapeID="_x0000_i1071" DrawAspect="Content" ObjectID="_1468075771" r:id="rId107">
            <o:LockedField>false</o:LockedField>
          </o:OLEObject>
        </w:object>
      </w:r>
      <w:r>
        <w:rPr>
          <w:rFonts w:hint="eastAsia"/>
          <w:sz w:val="24"/>
        </w:rPr>
        <w:t>。属A类不确定度。</w:t>
      </w:r>
    </w:p>
    <w:p>
      <w:pPr>
        <w:spacing w:line="360" w:lineRule="auto"/>
        <w:jc w:val="left"/>
        <w:rPr>
          <w:position w:val="-14"/>
          <w:sz w:val="24"/>
        </w:rPr>
      </w:pPr>
      <w:r>
        <w:rPr>
          <w:rFonts w:hint="eastAsia" w:eastAsia="黑体"/>
          <w:color w:val="000000"/>
          <w:sz w:val="24"/>
        </w:rPr>
        <w:t>D.3.1.2</w:t>
      </w:r>
      <w:r>
        <w:rPr>
          <w:rFonts w:hint="eastAsia"/>
          <w:sz w:val="24"/>
        </w:rPr>
        <w:t xml:space="preserve">  校准因子引入的相对标准不确定度</w:t>
      </w:r>
      <w:r>
        <w:rPr>
          <w:position w:val="-14"/>
          <w:sz w:val="24"/>
        </w:rPr>
        <w:object>
          <v:shape id="_x0000_i1072" o:spt="75" type="#_x0000_t75" style="height:19.4pt;width:53.2pt;" o:ole="t" filled="f" o:preferrelative="t" stroked="f" coordsize="21600,21600">
            <v:path/>
            <v:fill on="f" focussize="0,0"/>
            <v:stroke on="f" joinstyle="miter"/>
            <v:imagedata r:id="rId110" o:title=""/>
            <o:lock v:ext="edit" aspectratio="t"/>
            <w10:wrap type="none"/>
            <w10:anchorlock/>
          </v:shape>
          <o:OLEObject Type="Embed" ProgID="Equation.3" ShapeID="_x0000_i1072" DrawAspect="Content" ObjectID="_1468075772" r:id="rId109">
            <o:LockedField>false</o:LockedField>
          </o:OLEObject>
        </w:object>
      </w:r>
    </w:p>
    <w:p>
      <w:pPr>
        <w:spacing w:line="360" w:lineRule="auto"/>
        <w:jc w:val="left"/>
        <w:rPr>
          <w:sz w:val="24"/>
        </w:rPr>
      </w:pPr>
      <w:r>
        <w:rPr>
          <w:rFonts w:hint="eastAsia"/>
          <w:position w:val="-12"/>
          <w:sz w:val="24"/>
        </w:rPr>
        <w:tab/>
      </w:r>
      <w:r>
        <w:rPr>
          <w:rFonts w:hint="eastAsia"/>
          <w:sz w:val="24"/>
        </w:rPr>
        <w:t>标准剂量计校准证书给出：</w:t>
      </w:r>
      <w:r>
        <w:rPr>
          <w:position w:val="-12"/>
          <w:sz w:val="24"/>
        </w:rPr>
        <w:object>
          <v:shape id="_x0000_i1073" o:spt="75" type="#_x0000_t75" style="height:18.8pt;width:58.25pt;" o:ole="t" filled="f" o:preferrelative="t" stroked="f" coordsize="21600,21600">
            <v:path/>
            <v:fill on="f" focussize="0,0"/>
            <v:stroke on="f" joinstyle="miter"/>
            <v:imagedata r:id="rId112" o:title=""/>
            <o:lock v:ext="edit" aspectratio="t"/>
            <w10:wrap type="none"/>
            <w10:anchorlock/>
          </v:shape>
          <o:OLEObject Type="Embed" ProgID="Equation.3" ShapeID="_x0000_i1073" DrawAspect="Content" ObjectID="_1468075773" r:id="rId111">
            <o:LockedField>false</o:LockedField>
          </o:OLEObject>
        </w:object>
      </w:r>
      <w:r>
        <w:rPr>
          <w:rFonts w:hint="eastAsia"/>
          <w:sz w:val="24"/>
        </w:rPr>
        <w:t xml:space="preserve"> </w:t>
      </w:r>
      <w:r>
        <w:rPr>
          <w:position w:val="-10"/>
          <w:sz w:val="24"/>
        </w:rPr>
        <w:object>
          <v:shape id="_x0000_i1074" o:spt="75" type="#_x0000_t75" style="height:15.65pt;width:35.7pt;" o:ole="t" filled="f" o:preferrelative="t" stroked="f" coordsize="21600,21600">
            <v:path/>
            <v:fill on="f" focussize="0,0"/>
            <v:stroke on="f" joinstyle="miter"/>
            <v:imagedata r:id="rId114" o:title=""/>
            <o:lock v:ext="edit" aspectratio="t"/>
            <w10:wrap type="none"/>
            <w10:anchorlock/>
          </v:shape>
          <o:OLEObject Type="Embed" ProgID="Equation.3" ShapeID="_x0000_i1074" DrawAspect="Content" ObjectID="_1468075774" r:id="rId113">
            <o:LockedField>false</o:LockedField>
          </o:OLEObject>
        </w:object>
      </w:r>
      <w:r>
        <w:rPr>
          <w:rFonts w:hint="eastAsia"/>
          <w:sz w:val="24"/>
        </w:rPr>
        <w:t>，因而</w:t>
      </w:r>
      <w:r>
        <w:rPr>
          <w:position w:val="-14"/>
          <w:sz w:val="24"/>
        </w:rPr>
        <w:object>
          <v:shape id="_x0000_i1075" o:spt="75" type="#_x0000_t75" style="height:19.4pt;width:89.55pt;" o:ole="t" filled="f" o:preferrelative="t" stroked="f" coordsize="21600,21600">
            <v:path/>
            <v:fill on="f" focussize="0,0"/>
            <v:stroke on="f" joinstyle="miter"/>
            <v:imagedata r:id="rId116" o:title=""/>
            <o:lock v:ext="edit" aspectratio="t"/>
            <w10:wrap type="none"/>
            <w10:anchorlock/>
          </v:shape>
          <o:OLEObject Type="Embed" ProgID="Equation.3" ShapeID="_x0000_i1075" DrawAspect="Content" ObjectID="_1468075775" r:id="rId115">
            <o:LockedField>false</o:LockedField>
          </o:OLEObject>
        </w:object>
      </w:r>
      <w:r>
        <w:rPr>
          <w:rFonts w:hint="eastAsia"/>
          <w:sz w:val="24"/>
        </w:rPr>
        <w:t>。</w:t>
      </w:r>
    </w:p>
    <w:p>
      <w:pPr>
        <w:spacing w:line="360" w:lineRule="auto"/>
        <w:jc w:val="left"/>
        <w:rPr>
          <w:position w:val="-12"/>
          <w:sz w:val="24"/>
        </w:rPr>
      </w:pPr>
      <w:r>
        <w:rPr>
          <w:rFonts w:hint="eastAsia" w:eastAsia="黑体"/>
          <w:color w:val="000000"/>
          <w:sz w:val="24"/>
        </w:rPr>
        <w:t>D.3.1.3</w:t>
      </w:r>
      <w:r>
        <w:rPr>
          <w:rFonts w:hint="eastAsia"/>
          <w:sz w:val="24"/>
        </w:rPr>
        <w:t xml:space="preserve">  温度引入的相对标准不确定度分量</w:t>
      </w:r>
      <w:r>
        <w:rPr>
          <w:position w:val="-12"/>
          <w:sz w:val="24"/>
        </w:rPr>
        <w:object>
          <v:shape id="_x0000_i1076" o:spt="75" type="#_x0000_t75" style="height:18.8pt;width:30.7pt;" o:ole="t" filled="f" o:preferrelative="t" stroked="f" coordsize="21600,21600">
            <v:path/>
            <v:fill on="f" focussize="0,0"/>
            <v:stroke on="f" joinstyle="miter"/>
            <v:imagedata r:id="rId118" o:title=""/>
            <o:lock v:ext="edit" aspectratio="t"/>
            <w10:wrap type="none"/>
            <w10:anchorlock/>
          </v:shape>
          <o:OLEObject Type="Embed" ProgID="Equation.3" ShapeID="_x0000_i1076" DrawAspect="Content" ObjectID="_1468075776" r:id="rId117">
            <o:LockedField>false</o:LockedField>
          </o:OLEObject>
        </w:object>
      </w:r>
    </w:p>
    <w:p>
      <w:pPr>
        <w:spacing w:line="360" w:lineRule="auto"/>
        <w:jc w:val="left"/>
        <w:rPr>
          <w:sz w:val="24"/>
        </w:rPr>
      </w:pPr>
      <w:r>
        <w:rPr>
          <w:rFonts w:hint="eastAsia"/>
          <w:position w:val="-12"/>
          <w:sz w:val="24"/>
        </w:rPr>
        <w:tab/>
      </w:r>
      <w:r>
        <w:rPr>
          <w:rFonts w:hint="eastAsia"/>
          <w:sz w:val="24"/>
        </w:rPr>
        <w:t>使用玻璃温度计测量环境温度，其检定证书给出在温度为20℃的时候其修正值为-0.18℃，扩展不确定度</w:t>
      </w:r>
      <w:r>
        <w:rPr>
          <w:position w:val="-6"/>
          <w:sz w:val="24"/>
        </w:rPr>
        <w:object>
          <v:shape id="_x0000_i1077" o:spt="75" type="#_x0000_t75" style="height:13.75pt;width:45.1pt;" o:ole="t" filled="f" o:preferrelative="t" stroked="f" coordsize="21600,21600">
            <v:path/>
            <v:fill on="f" focussize="0,0"/>
            <v:stroke on="f" joinstyle="miter"/>
            <v:imagedata r:id="rId120" o:title=""/>
            <o:lock v:ext="edit" aspectratio="t"/>
            <w10:wrap type="none"/>
            <w10:anchorlock/>
          </v:shape>
          <o:OLEObject Type="Embed" ProgID="Equation.3" ShapeID="_x0000_i1077" DrawAspect="Content" ObjectID="_1468075777" r:id="rId119">
            <o:LockedField>false</o:LockedField>
          </o:OLEObject>
        </w:object>
      </w:r>
      <w:r>
        <w:rPr>
          <w:rFonts w:hint="eastAsia"/>
          <w:sz w:val="24"/>
        </w:rPr>
        <w:t>℃，</w:t>
      </w:r>
      <w:r>
        <w:rPr>
          <w:position w:val="-6"/>
          <w:sz w:val="24"/>
        </w:rPr>
        <w:object>
          <v:shape id="_x0000_i1078" o:spt="75" type="#_x0000_t75" style="height:13.75pt;width:28.8pt;" o:ole="t" filled="f" o:preferrelative="t" stroked="f" coordsize="21600,21600">
            <v:path/>
            <v:fill on="f" focussize="0,0"/>
            <v:stroke on="f" joinstyle="miter"/>
            <v:imagedata r:id="rId122" o:title=""/>
            <o:lock v:ext="edit" aspectratio="t"/>
            <w10:wrap type="none"/>
            <w10:anchorlock/>
          </v:shape>
          <o:OLEObject Type="Embed" ProgID="Equation.3" ShapeID="_x0000_i1078" DrawAspect="Content" ObjectID="_1468075778" r:id="rId121">
            <o:LockedField>false</o:LockedField>
          </o:OLEObject>
        </w:object>
      </w:r>
      <w:r>
        <w:rPr>
          <w:rFonts w:hint="eastAsia"/>
          <w:sz w:val="24"/>
        </w:rPr>
        <w:t>。若读取温度时不做修正，则在环境温度为20℃时的最大相对标准不确定度为：</w:t>
      </w:r>
    </w:p>
    <w:p>
      <w:pPr>
        <w:spacing w:line="360" w:lineRule="auto"/>
        <w:jc w:val="center"/>
        <w:rPr>
          <w:position w:val="-24"/>
          <w:sz w:val="24"/>
        </w:rPr>
      </w:pPr>
      <w:r>
        <w:rPr>
          <w:position w:val="-24"/>
          <w:sz w:val="24"/>
        </w:rPr>
        <w:object>
          <v:shape id="_x0000_i1079" o:spt="75" type="#_x0000_t75" style="height:34.45pt;width:147.15pt;" o:ole="t" filled="f" o:preferrelative="t" stroked="f" coordsize="21600,21600">
            <v:path/>
            <v:fill on="f" focussize="0,0"/>
            <v:stroke on="f" joinstyle="miter"/>
            <v:imagedata r:id="rId124" o:title=""/>
            <o:lock v:ext="edit" aspectratio="t"/>
            <w10:wrap type="none"/>
            <w10:anchorlock/>
          </v:shape>
          <o:OLEObject Type="Embed" ProgID="Equation.3" ShapeID="_x0000_i1079" DrawAspect="Content" ObjectID="_1468075779" r:id="rId123">
            <o:LockedField>false</o:LockedField>
          </o:OLEObject>
        </w:object>
      </w:r>
    </w:p>
    <w:p>
      <w:pPr>
        <w:spacing w:line="360" w:lineRule="auto"/>
        <w:rPr>
          <w:sz w:val="24"/>
        </w:rPr>
      </w:pPr>
      <w:r>
        <w:rPr>
          <w:rFonts w:hint="eastAsia"/>
          <w:position w:val="-24"/>
          <w:sz w:val="24"/>
        </w:rPr>
        <w:t>属B类不确定度。</w:t>
      </w:r>
    </w:p>
    <w:p>
      <w:pPr>
        <w:spacing w:line="360" w:lineRule="auto"/>
        <w:jc w:val="left"/>
        <w:rPr>
          <w:rFonts w:ascii="宋体" w:hAnsi="宋体"/>
          <w:color w:val="000000"/>
          <w:sz w:val="24"/>
        </w:rPr>
      </w:pPr>
      <w:r>
        <w:rPr>
          <w:rFonts w:hint="eastAsia" w:eastAsia="黑体"/>
          <w:color w:val="000000"/>
          <w:sz w:val="24"/>
        </w:rPr>
        <w:t>D.3.1.4</w:t>
      </w:r>
      <w:r>
        <w:rPr>
          <w:rFonts w:hint="eastAsia" w:ascii="宋体" w:hAnsi="宋体"/>
          <w:color w:val="000000"/>
          <w:sz w:val="24"/>
        </w:rPr>
        <w:t xml:space="preserve">  气压引入的相对标准不确定度分量</w:t>
      </w:r>
      <w:r>
        <w:rPr>
          <w:rFonts w:ascii="宋体" w:hAnsi="宋体"/>
          <w:color w:val="000000"/>
          <w:position w:val="-12"/>
          <w:sz w:val="24"/>
        </w:rPr>
        <w:object>
          <v:shape id="_x0000_i1080" o:spt="75" type="#_x0000_t75" style="height:18.8pt;width:35.7pt;" o:ole="t" filled="f" o:preferrelative="t" stroked="f" coordsize="21600,21600">
            <v:path/>
            <v:fill on="f" focussize="0,0"/>
            <v:stroke on="f" joinstyle="miter"/>
            <v:imagedata r:id="rId126" o:title=""/>
            <o:lock v:ext="edit" aspectratio="t"/>
            <w10:wrap type="none"/>
            <w10:anchorlock/>
          </v:shape>
          <o:OLEObject Type="Embed" ProgID="Equation.3" ShapeID="_x0000_i1080" DrawAspect="Content" ObjectID="_1468075780" r:id="rId125">
            <o:LockedField>false</o:LockedField>
          </o:OLEObject>
        </w:object>
      </w:r>
    </w:p>
    <w:p>
      <w:pPr>
        <w:spacing w:line="360" w:lineRule="auto"/>
        <w:ind w:firstLine="420"/>
        <w:jc w:val="left"/>
        <w:rPr>
          <w:sz w:val="24"/>
        </w:rPr>
      </w:pPr>
      <w:r>
        <w:rPr>
          <w:rFonts w:hint="eastAsia"/>
          <w:sz w:val="24"/>
        </w:rPr>
        <w:t>使用空盒气压表测量环境气压，其检定证书给出在101kPa的时候其修正值为0.07kPa，扩展不确定度</w:t>
      </w:r>
      <w:r>
        <w:rPr>
          <w:position w:val="-6"/>
          <w:sz w:val="24"/>
        </w:rPr>
        <w:object>
          <v:shape id="_x0000_i1081" o:spt="75" type="#_x0000_t75" style="height:13.75pt;width:45.1pt;" o:ole="t" filled="f" o:preferrelative="t" stroked="f" coordsize="21600,21600">
            <v:path/>
            <v:fill on="f" focussize="0,0"/>
            <v:stroke on="f" joinstyle="miter"/>
            <v:imagedata r:id="rId128" o:title=""/>
            <o:lock v:ext="edit" aspectratio="t"/>
            <w10:wrap type="none"/>
            <w10:anchorlock/>
          </v:shape>
          <o:OLEObject Type="Embed" ProgID="Equation.3" ShapeID="_x0000_i1081" DrawAspect="Content" ObjectID="_1468075781" r:id="rId127">
            <o:LockedField>false</o:LockedField>
          </o:OLEObject>
        </w:object>
      </w:r>
      <w:r>
        <w:rPr>
          <w:rFonts w:hint="eastAsia"/>
          <w:sz w:val="24"/>
        </w:rPr>
        <w:t>kPa，</w:t>
      </w:r>
      <w:r>
        <w:rPr>
          <w:position w:val="-6"/>
          <w:sz w:val="24"/>
        </w:rPr>
        <w:object>
          <v:shape id="_x0000_i1082" o:spt="75" type="#_x0000_t75" style="height:13.75pt;width:28.8pt;" o:ole="t" filled="f" o:preferrelative="t" stroked="f" coordsize="21600,21600">
            <v:path/>
            <v:fill on="f" focussize="0,0"/>
            <v:stroke on="f" joinstyle="miter"/>
            <v:imagedata r:id="rId122" o:title=""/>
            <o:lock v:ext="edit" aspectratio="t"/>
            <w10:wrap type="none"/>
            <w10:anchorlock/>
          </v:shape>
          <o:OLEObject Type="Embed" ProgID="Equation.3" ShapeID="_x0000_i1082" DrawAspect="Content" ObjectID="_1468075782" r:id="rId129">
            <o:LockedField>false</o:LockedField>
          </o:OLEObject>
        </w:object>
      </w:r>
      <w:r>
        <w:rPr>
          <w:rFonts w:hint="eastAsia"/>
          <w:sz w:val="24"/>
        </w:rPr>
        <w:t>。若读取气压时不做修正，则在环境气压为101kPa时的相对标准不确定度为：</w:t>
      </w:r>
    </w:p>
    <w:p>
      <w:pPr>
        <w:spacing w:line="360" w:lineRule="auto"/>
        <w:jc w:val="center"/>
        <w:rPr>
          <w:position w:val="-24"/>
          <w:sz w:val="24"/>
        </w:rPr>
      </w:pPr>
      <w:r>
        <w:rPr>
          <w:position w:val="-24"/>
          <w:sz w:val="24"/>
        </w:rPr>
        <w:object>
          <v:shape id="_x0000_i1083" o:spt="75" type="#_x0000_t75" style="height:34.45pt;width:131.5pt;" o:ole="t" filled="f" o:preferrelative="t" stroked="f" coordsize="21600,21600">
            <v:path/>
            <v:fill on="f" focussize="0,0"/>
            <v:stroke on="f" joinstyle="miter"/>
            <v:imagedata r:id="rId131" o:title=""/>
            <o:lock v:ext="edit" aspectratio="t"/>
            <w10:wrap type="none"/>
            <w10:anchorlock/>
          </v:shape>
          <o:OLEObject Type="Embed" ProgID="Equation.3" ShapeID="_x0000_i1083" DrawAspect="Content" ObjectID="_1468075783" r:id="rId130">
            <o:LockedField>false</o:LockedField>
          </o:OLEObject>
        </w:object>
      </w:r>
    </w:p>
    <w:p>
      <w:pPr>
        <w:spacing w:line="360" w:lineRule="auto"/>
        <w:rPr>
          <w:sz w:val="24"/>
        </w:rPr>
      </w:pPr>
      <w:r>
        <w:rPr>
          <w:rFonts w:hint="eastAsia"/>
          <w:position w:val="-24"/>
          <w:sz w:val="24"/>
        </w:rPr>
        <w:t>属B类不确定度。</w:t>
      </w:r>
    </w:p>
    <w:p>
      <w:pPr>
        <w:spacing w:line="360" w:lineRule="auto"/>
        <w:jc w:val="left"/>
        <w:rPr>
          <w:position w:val="-12"/>
          <w:sz w:val="24"/>
        </w:rPr>
      </w:pPr>
      <w:r>
        <w:rPr>
          <w:rFonts w:hint="eastAsia" w:eastAsia="黑体"/>
          <w:color w:val="000000"/>
          <w:sz w:val="24"/>
        </w:rPr>
        <w:t>D.3.1.5</w:t>
      </w:r>
      <w:r>
        <w:rPr>
          <w:rFonts w:hint="eastAsia"/>
          <w:sz w:val="24"/>
        </w:rPr>
        <w:t xml:space="preserve">  稳定性引入的相对标准不确定度分量</w:t>
      </w:r>
      <w:r>
        <w:rPr>
          <w:position w:val="-12"/>
          <w:sz w:val="24"/>
        </w:rPr>
        <w:object>
          <v:shape id="_x0000_i1084" o:spt="75" type="#_x0000_t75" style="height:18.8pt;width:40.05pt;" o:ole="t" filled="f" o:preferrelative="t" stroked="f" coordsize="21600,21600">
            <v:path/>
            <v:fill on="f" focussize="0,0"/>
            <v:stroke on="f" joinstyle="miter"/>
            <v:imagedata r:id="rId133" o:title=""/>
            <o:lock v:ext="edit" aspectratio="t"/>
            <w10:wrap type="none"/>
            <w10:anchorlock/>
          </v:shape>
          <o:OLEObject Type="Embed" ProgID="Equation.3" ShapeID="_x0000_i1084" DrawAspect="Content" ObjectID="_1468075784" r:id="rId132">
            <o:LockedField>false</o:LockedField>
          </o:OLEObject>
        </w:object>
      </w:r>
    </w:p>
    <w:p>
      <w:pPr>
        <w:spacing w:line="360" w:lineRule="auto"/>
        <w:jc w:val="center"/>
        <w:rPr>
          <w:position w:val="-32"/>
          <w:sz w:val="24"/>
        </w:rPr>
      </w:pPr>
      <w:r>
        <w:rPr>
          <w:position w:val="-30"/>
          <w:sz w:val="24"/>
        </w:rPr>
        <w:object>
          <v:shape id="_x0000_i1085" o:spt="75" type="#_x0000_t75" style="height:36.3pt;width:201.6pt;" o:ole="t" filled="f" o:preferrelative="t" stroked="f" coordsize="21600,21600">
            <v:path/>
            <v:fill on="f" focussize="0,0"/>
            <v:stroke on="f" joinstyle="miter"/>
            <v:imagedata r:id="rId135" o:title=""/>
            <o:lock v:ext="edit" aspectratio="t"/>
            <w10:wrap type="none"/>
            <w10:anchorlock/>
          </v:shape>
          <o:OLEObject Type="Embed" ProgID="Equation.3" ShapeID="_x0000_i1085" DrawAspect="Content" ObjectID="_1468075785" r:id="rId134">
            <o:LockedField>false</o:LockedField>
          </o:OLEObject>
        </w:object>
      </w:r>
    </w:p>
    <w:p>
      <w:pPr>
        <w:spacing w:line="360" w:lineRule="auto"/>
        <w:jc w:val="left"/>
        <w:rPr>
          <w:color w:val="000000"/>
          <w:sz w:val="24"/>
        </w:rPr>
      </w:pPr>
      <w:r>
        <w:rPr>
          <w:rFonts w:hint="eastAsia"/>
          <w:position w:val="-32"/>
          <w:sz w:val="24"/>
        </w:rPr>
        <w:tab/>
      </w:r>
      <w:r>
        <w:rPr>
          <w:rFonts w:hint="eastAsia"/>
          <w:sz w:val="24"/>
        </w:rPr>
        <w:t>标准剂量计年稳定性不超过±0.5%，取均匀分布，</w:t>
      </w:r>
      <w:r>
        <w:rPr>
          <w:position w:val="-8"/>
          <w:sz w:val="24"/>
        </w:rPr>
        <w:object>
          <v:shape id="_x0000_i1086" o:spt="75" type="#_x0000_t75" style="height:18.8pt;width:36.3pt;" o:ole="t" filled="f" o:preferrelative="t" stroked="f" coordsize="21600,21600">
            <v:path/>
            <v:fill on="f" focussize="0,0"/>
            <v:stroke on="f" joinstyle="miter"/>
            <v:imagedata r:id="rId137" o:title=""/>
            <o:lock v:ext="edit" aspectratio="t"/>
            <w10:wrap type="none"/>
            <w10:anchorlock/>
          </v:shape>
          <o:OLEObject Type="Embed" ProgID="Equation.3" ShapeID="_x0000_i1086" DrawAspect="Content" ObjectID="_1468075786" r:id="rId136">
            <o:LockedField>false</o:LockedField>
          </o:OLEObject>
        </w:object>
      </w:r>
      <w:r>
        <w:rPr>
          <w:rFonts w:hint="eastAsia"/>
          <w:sz w:val="24"/>
        </w:rPr>
        <w:t>，</w:t>
      </w:r>
      <w:r>
        <w:rPr>
          <w:color w:val="000000"/>
          <w:position w:val="-12"/>
          <w:sz w:val="24"/>
        </w:rPr>
        <w:object>
          <v:shape id="_x0000_i1087" o:spt="75" type="#_x0000_t75" style="height:19.4pt;width:124.6pt;" o:ole="t" filled="f" o:preferrelative="t" stroked="f" coordsize="21600,21600">
            <v:path/>
            <v:fill on="f" focussize="0,0"/>
            <v:stroke on="f" joinstyle="miter"/>
            <v:imagedata r:id="rId139" o:title=""/>
            <o:lock v:ext="edit" aspectratio="t"/>
            <w10:wrap type="none"/>
            <w10:anchorlock/>
          </v:shape>
          <o:OLEObject Type="Embed" ProgID="Equation.3" ShapeID="_x0000_i1087" DrawAspect="Content" ObjectID="_1468075787" r:id="rId138">
            <o:LockedField>false</o:LockedField>
          </o:OLEObject>
        </w:object>
      </w:r>
      <w:r>
        <w:rPr>
          <w:rFonts w:hint="eastAsia"/>
          <w:color w:val="000000"/>
          <w:sz w:val="24"/>
        </w:rPr>
        <w:t>，</w:t>
      </w:r>
      <w:r>
        <w:rPr>
          <w:color w:val="000000"/>
          <w:position w:val="-14"/>
          <w:sz w:val="24"/>
        </w:rPr>
        <w:object>
          <v:shape id="_x0000_i1088" o:spt="75" type="#_x0000_t75" style="height:18.8pt;width:169.05pt;" o:ole="t" filled="f" o:preferrelative="t" stroked="f" coordsize="21600,21600">
            <v:path/>
            <v:fill on="f" focussize="0,0"/>
            <v:stroke on="f" joinstyle="miter"/>
            <v:imagedata r:id="rId141" o:title=""/>
            <o:lock v:ext="edit" aspectratio="t"/>
            <w10:wrap type="none"/>
            <w10:anchorlock/>
          </v:shape>
          <o:OLEObject Type="Embed" ProgID="Equation.3" ShapeID="_x0000_i1088" DrawAspect="Content" ObjectID="_1468075788" r:id="rId140">
            <o:LockedField>false</o:LockedField>
          </o:OLEObject>
        </w:object>
      </w:r>
      <w:r>
        <w:rPr>
          <w:rFonts w:hint="eastAsia"/>
          <w:color w:val="000000"/>
          <w:sz w:val="24"/>
        </w:rPr>
        <w:t>，属B类不确定度。</w:t>
      </w:r>
    </w:p>
    <w:p>
      <w:pPr>
        <w:spacing w:line="360" w:lineRule="auto"/>
        <w:jc w:val="left"/>
        <w:rPr>
          <w:position w:val="-14"/>
          <w:sz w:val="24"/>
        </w:rPr>
      </w:pPr>
      <w:r>
        <w:rPr>
          <w:rFonts w:hint="eastAsia" w:eastAsia="黑体"/>
          <w:color w:val="000000"/>
          <w:sz w:val="24"/>
        </w:rPr>
        <w:t>D.3.1.6</w:t>
      </w:r>
      <w:r>
        <w:rPr>
          <w:rFonts w:hint="eastAsia"/>
          <w:sz w:val="24"/>
        </w:rPr>
        <w:t xml:space="preserve">  漏电效应引入的相对标准不确定度分量</w:t>
      </w:r>
      <w:r>
        <w:rPr>
          <w:position w:val="-14"/>
          <w:sz w:val="24"/>
        </w:rPr>
        <w:object>
          <v:shape id="_x0000_i1089" o:spt="75" type="#_x0000_t75" style="height:19.4pt;width:40.05pt;" o:ole="t" filled="f" o:preferrelative="t" stroked="f" coordsize="21600,21600">
            <v:path/>
            <v:fill on="f" focussize="0,0"/>
            <v:stroke on="f" joinstyle="miter"/>
            <v:imagedata r:id="rId143" o:title=""/>
            <o:lock v:ext="edit" aspectratio="t"/>
            <w10:wrap type="none"/>
            <w10:anchorlock/>
          </v:shape>
          <o:OLEObject Type="Embed" ProgID="Equation.3" ShapeID="_x0000_i1089" DrawAspect="Content" ObjectID="_1468075789" r:id="rId142">
            <o:LockedField>false</o:LockedField>
          </o:OLEObject>
        </w:object>
      </w:r>
    </w:p>
    <w:p>
      <w:pPr>
        <w:spacing w:line="360" w:lineRule="auto"/>
        <w:jc w:val="center"/>
        <w:rPr>
          <w:position w:val="-14"/>
          <w:sz w:val="24"/>
        </w:rPr>
      </w:pPr>
      <w:r>
        <w:rPr>
          <w:rFonts w:hint="eastAsia"/>
          <w:position w:val="-14"/>
          <w:sz w:val="24"/>
        </w:rPr>
        <w:tab/>
      </w:r>
      <w:r>
        <w:rPr>
          <w:position w:val="-32"/>
          <w:sz w:val="24"/>
        </w:rPr>
        <w:object>
          <v:shape id="_x0000_i1090" o:spt="75" type="#_x0000_t75" style="height:38.2pt;width:204.75pt;" o:ole="t" filled="f" o:preferrelative="t" stroked="f" coordsize="21600,21600">
            <v:path/>
            <v:fill on="f" focussize="0,0"/>
            <v:stroke on="f" joinstyle="miter"/>
            <v:imagedata r:id="rId145" o:title=""/>
            <o:lock v:ext="edit" aspectratio="t"/>
            <w10:wrap type="none"/>
            <w10:anchorlock/>
          </v:shape>
          <o:OLEObject Type="Embed" ProgID="Equation.3" ShapeID="_x0000_i1090" DrawAspect="Content" ObjectID="_1468075790" r:id="rId144">
            <o:LockedField>false</o:LockedField>
          </o:OLEObject>
        </w:object>
      </w:r>
    </w:p>
    <w:p>
      <w:pPr>
        <w:spacing w:line="360" w:lineRule="auto"/>
        <w:jc w:val="left"/>
        <w:rPr>
          <w:sz w:val="24"/>
        </w:rPr>
      </w:pPr>
      <w:r>
        <w:rPr>
          <w:rFonts w:hint="eastAsia"/>
          <w:position w:val="-14"/>
          <w:sz w:val="24"/>
        </w:rPr>
        <w:tab/>
      </w:r>
      <w:r>
        <w:rPr>
          <w:rFonts w:hint="eastAsia"/>
          <w:position w:val="-14"/>
          <w:sz w:val="24"/>
        </w:rPr>
        <w:t>根据IEC 61674-2012 标准要求，在所有的空气比释动能率的量程上，做完各种校正调节后，至少在1min内，漏电流应该不超过所用的量程上的最小有效空气比释动能</w:t>
      </w:r>
      <w:r>
        <w:rPr>
          <w:rFonts w:hint="eastAsia"/>
          <w:sz w:val="24"/>
        </w:rPr>
        <w:t>率的5.0%，一般最小有效剂量率为1div/min，此时</w:t>
      </w:r>
      <w:r>
        <w:rPr>
          <w:position w:val="-14"/>
          <w:sz w:val="24"/>
        </w:rPr>
        <w:object>
          <v:shape id="_x0000_i1091" o:spt="75" type="#_x0000_t75" style="height:18.8pt;width:17.55pt;" o:ole="t" filled="f" o:preferrelative="t" stroked="f" coordsize="21600,21600">
            <v:path/>
            <v:fill on="f" focussize="0,0"/>
            <v:stroke on="f" joinstyle="miter"/>
            <v:imagedata r:id="rId147" o:title=""/>
            <o:lock v:ext="edit" aspectratio="t"/>
            <w10:wrap type="none"/>
            <w10:anchorlock/>
          </v:shape>
          <o:OLEObject Type="Embed" ProgID="Equation.3" ShapeID="_x0000_i1091" DrawAspect="Content" ObjectID="_1468075791" r:id="rId146">
            <o:LockedField>false</o:LockedField>
          </o:OLEObject>
        </w:object>
      </w:r>
      <w:r>
        <w:rPr>
          <w:rFonts w:hint="eastAsia"/>
          <w:sz w:val="24"/>
        </w:rPr>
        <w:t>=5.0%。</w:t>
      </w:r>
      <w:r>
        <w:rPr>
          <w:rFonts w:hint="eastAsia"/>
          <w:color w:val="000000"/>
          <w:sz w:val="24"/>
        </w:rPr>
        <w:t>一般距源1000mm处的剂量率最低不小于20div/min，此时</w:t>
      </w:r>
      <w:r>
        <w:rPr>
          <w:color w:val="000000"/>
          <w:position w:val="-14"/>
          <w:sz w:val="24"/>
        </w:rPr>
        <w:object>
          <v:shape id="_x0000_i1092" o:spt="75" type="#_x0000_t75" style="height:18.8pt;width:17.55pt;" o:ole="t" filled="f" o:preferrelative="t" stroked="f" coordsize="21600,21600">
            <v:path/>
            <v:fill on="f" focussize="0,0"/>
            <v:stroke on="f" joinstyle="miter"/>
            <v:imagedata r:id="rId149" o:title=""/>
            <o:lock v:ext="edit" aspectratio="t"/>
            <w10:wrap type="none"/>
            <w10:anchorlock/>
          </v:shape>
          <o:OLEObject Type="Embed" ProgID="Equation.3" ShapeID="_x0000_i1092" DrawAspect="Content" ObjectID="_1468075792" r:id="rId148">
            <o:LockedField>false</o:LockedField>
          </o:OLEObject>
        </w:object>
      </w:r>
      <w:r>
        <w:rPr>
          <w:rFonts w:hint="eastAsia"/>
          <w:color w:val="000000"/>
          <w:sz w:val="24"/>
        </w:rPr>
        <w:t>=5%/20=0.25%。取均匀分布，</w:t>
      </w:r>
      <w:r>
        <w:rPr>
          <w:color w:val="000000"/>
          <w:position w:val="-8"/>
          <w:sz w:val="24"/>
        </w:rPr>
        <w:object>
          <v:shape id="_x0000_i1093" o:spt="75" type="#_x0000_t75" style="height:18.8pt;width:36.3pt;" o:ole="t" filled="f" o:preferrelative="t" stroked="f" coordsize="21600,21600">
            <v:path/>
            <v:fill on="f" focussize="0,0"/>
            <v:stroke on="f" joinstyle="miter"/>
            <v:imagedata r:id="rId151" o:title=""/>
            <o:lock v:ext="edit" aspectratio="t"/>
            <w10:wrap type="none"/>
            <w10:anchorlock/>
          </v:shape>
          <o:OLEObject Type="Embed" ProgID="Equation.3" ShapeID="_x0000_i1093" DrawAspect="Content" ObjectID="_1468075793" r:id="rId150">
            <o:LockedField>false</o:LockedField>
          </o:OLEObject>
        </w:object>
      </w:r>
      <w:r>
        <w:rPr>
          <w:rFonts w:hint="eastAsia"/>
          <w:color w:val="000000"/>
          <w:sz w:val="24"/>
        </w:rPr>
        <w:t>，</w:t>
      </w:r>
      <w:r>
        <w:rPr>
          <w:color w:val="000000"/>
          <w:position w:val="-14"/>
          <w:sz w:val="24"/>
        </w:rPr>
        <w:object>
          <v:shape id="_x0000_i1094" o:spt="75" type="#_x0000_t75" style="height:20.65pt;width:130.25pt;" o:ole="t" filled="f" o:preferrelative="t" stroked="f" coordsize="21600,21600">
            <v:path/>
            <v:fill on="f" focussize="0,0"/>
            <v:stroke on="f" joinstyle="miter"/>
            <v:imagedata r:id="rId153" o:title=""/>
            <o:lock v:ext="edit" aspectratio="t"/>
            <w10:wrap type="none"/>
            <w10:anchorlock/>
          </v:shape>
          <o:OLEObject Type="Embed" ProgID="Equation.3" ShapeID="_x0000_i1094" DrawAspect="Content" ObjectID="_1468075794" r:id="rId152">
            <o:LockedField>false</o:LockedField>
          </o:OLEObject>
        </w:object>
      </w:r>
      <w:r>
        <w:rPr>
          <w:rFonts w:hint="eastAsia"/>
          <w:color w:val="000000"/>
          <w:sz w:val="24"/>
        </w:rPr>
        <w:t>，</w:t>
      </w:r>
      <w:r>
        <w:rPr>
          <w:position w:val="-14"/>
          <w:sz w:val="24"/>
        </w:rPr>
        <w:object>
          <v:shape id="_x0000_i1095" o:spt="75" type="#_x0000_t75" style="height:18.8pt;width:172.8pt;" o:ole="t" filled="f" o:preferrelative="t" stroked="f" coordsize="21600,21600">
            <v:path/>
            <v:fill on="f" focussize="0,0"/>
            <v:stroke on="f" joinstyle="miter"/>
            <v:imagedata r:id="rId155" o:title=""/>
            <o:lock v:ext="edit" aspectratio="t"/>
            <w10:wrap type="none"/>
            <w10:anchorlock/>
          </v:shape>
          <o:OLEObject Type="Embed" ProgID="Equation.3" ShapeID="_x0000_i1095" DrawAspect="Content" ObjectID="_1468075795" r:id="rId154">
            <o:LockedField>false</o:LockedField>
          </o:OLEObject>
        </w:object>
      </w:r>
      <w:r>
        <w:rPr>
          <w:rFonts w:hint="eastAsia"/>
          <w:sz w:val="24"/>
        </w:rPr>
        <w:t>，属B类不确定度。若剂量率超过60div/min，则可忽</w:t>
      </w:r>
      <w:r>
        <w:rPr>
          <w:rFonts w:hint="eastAsia"/>
          <w:color w:val="000000"/>
          <w:sz w:val="24"/>
        </w:rPr>
        <w:t>略漏电流引入的不确定度分量。</w:t>
      </w:r>
      <w:r>
        <w:rPr>
          <w:color w:val="000000"/>
          <w:sz w:val="24"/>
        </w:rPr>
        <w:t xml:space="preserve"> </w:t>
      </w:r>
    </w:p>
    <w:p>
      <w:pPr>
        <w:spacing w:line="360" w:lineRule="auto"/>
        <w:jc w:val="left"/>
        <w:rPr>
          <w:position w:val="-12"/>
          <w:sz w:val="24"/>
        </w:rPr>
      </w:pPr>
    </w:p>
    <w:p>
      <w:pPr>
        <w:spacing w:line="360" w:lineRule="auto"/>
        <w:jc w:val="left"/>
        <w:rPr>
          <w:position w:val="-14"/>
          <w:sz w:val="24"/>
        </w:rPr>
      </w:pPr>
      <w:r>
        <w:rPr>
          <w:rFonts w:hint="eastAsia" w:eastAsia="黑体"/>
          <w:color w:val="000000"/>
          <w:sz w:val="24"/>
        </w:rPr>
        <w:t>D.3.1.7</w:t>
      </w:r>
      <w:r>
        <w:rPr>
          <w:rFonts w:hint="eastAsia"/>
          <w:sz w:val="24"/>
        </w:rPr>
        <w:t xml:space="preserve">  能量响应引入的相对标准不确定度分量</w:t>
      </w:r>
      <w:r>
        <w:rPr>
          <w:position w:val="-12"/>
          <w:sz w:val="24"/>
        </w:rPr>
        <w:object>
          <v:shape id="_x0000_i1096" o:spt="75" type="#_x0000_t75" style="height:18.8pt;width:37.55pt;" o:ole="t" filled="f" o:preferrelative="t" stroked="f" coordsize="21600,21600">
            <v:path/>
            <v:fill on="f" focussize="0,0"/>
            <v:stroke on="f" joinstyle="miter"/>
            <v:imagedata r:id="rId157" o:title=""/>
            <o:lock v:ext="edit" aspectratio="t"/>
            <w10:wrap type="none"/>
            <w10:anchorlock/>
          </v:shape>
          <o:OLEObject Type="Embed" ProgID="Equation.3" ShapeID="_x0000_i1096" DrawAspect="Content" ObjectID="_1468075796" r:id="rId156">
            <o:LockedField>false</o:LockedField>
          </o:OLEObject>
        </w:object>
      </w:r>
    </w:p>
    <w:p>
      <w:pPr>
        <w:spacing w:line="360" w:lineRule="auto"/>
        <w:jc w:val="center"/>
        <w:rPr>
          <w:position w:val="-14"/>
          <w:sz w:val="24"/>
        </w:rPr>
      </w:pPr>
      <w:r>
        <w:rPr>
          <w:position w:val="-30"/>
          <w:sz w:val="24"/>
        </w:rPr>
        <w:object>
          <v:shape id="_x0000_i1097" o:spt="75" type="#_x0000_t75" style="height:36.3pt;width:191.6pt;" o:ole="t" filled="f" o:preferrelative="t" stroked="f" coordsize="21600,21600">
            <v:path/>
            <v:fill on="f" focussize="0,0"/>
            <v:stroke on="f" joinstyle="miter"/>
            <v:imagedata r:id="rId159" o:title=""/>
            <o:lock v:ext="edit" aspectratio="t"/>
            <w10:wrap type="none"/>
            <w10:anchorlock/>
          </v:shape>
          <o:OLEObject Type="Embed" ProgID="Equation.3" ShapeID="_x0000_i1097" DrawAspect="Content" ObjectID="_1468075797" r:id="rId158">
            <o:LockedField>false</o:LockedField>
          </o:OLEObject>
        </w:object>
      </w:r>
    </w:p>
    <w:p>
      <w:pPr>
        <w:spacing w:line="360" w:lineRule="auto"/>
        <w:jc w:val="left"/>
        <w:rPr>
          <w:color w:val="000000"/>
          <w:sz w:val="24"/>
        </w:rPr>
      </w:pPr>
      <w:r>
        <w:rPr>
          <w:rFonts w:hint="eastAsia"/>
          <w:position w:val="-14"/>
          <w:sz w:val="24"/>
        </w:rPr>
        <w:tab/>
      </w:r>
      <w:r>
        <w:rPr>
          <w:rFonts w:hint="eastAsia"/>
          <w:sz w:val="24"/>
        </w:rPr>
        <w:t>根据IEC 61674-2012 标准要求，在空气比释动率测量范围内，任何乳腺诊断X射线参考辐射质下的能量响应不超过±5%。实际上对乳腺诊断X射线剂量计的校准覆盖了整个乳腺诊断X射线参考辐射质，因此影响剂量计能量响应的来源主要来自于校准标准剂量计的辐射源与校准工作级剂量计的辐射源之间的差异，假设同一参考辐射质下的半值层差异≤0.2mm Al，其能量响应＜0.1%。取均匀分布，</w:t>
      </w:r>
      <w:r>
        <w:rPr>
          <w:position w:val="-8"/>
          <w:sz w:val="24"/>
        </w:rPr>
        <w:object>
          <v:shape id="_x0000_i1098" o:spt="75" type="#_x0000_t75" style="height:18.8pt;width:36.3pt;" o:ole="t" filled="f" o:preferrelative="t" stroked="f" coordsize="21600,21600">
            <v:path/>
            <v:fill on="f" focussize="0,0"/>
            <v:stroke on="f" joinstyle="miter"/>
            <v:imagedata r:id="rId161" o:title=""/>
            <o:lock v:ext="edit" aspectratio="t"/>
            <w10:wrap type="none"/>
            <w10:anchorlock/>
          </v:shape>
          <o:OLEObject Type="Embed" ProgID="Equation.3" ShapeID="_x0000_i1098" DrawAspect="Content" ObjectID="_1468075798" r:id="rId160">
            <o:LockedField>false</o:LockedField>
          </o:OLEObject>
        </w:object>
      </w:r>
      <w:r>
        <w:rPr>
          <w:rFonts w:hint="eastAsia"/>
          <w:sz w:val="24"/>
        </w:rPr>
        <w:t>，</w:t>
      </w:r>
      <w:r>
        <w:rPr>
          <w:position w:val="-12"/>
          <w:sz w:val="24"/>
        </w:rPr>
        <w:object>
          <v:shape id="_x0000_i1099" o:spt="75" type="#_x0000_t75" style="height:19.4pt;width:127.1pt;" o:ole="t" filled="f" o:preferrelative="t" stroked="f" coordsize="21600,21600">
            <v:path/>
            <v:fill on="f" focussize="0,0"/>
            <v:stroke on="f" joinstyle="miter"/>
            <v:imagedata r:id="rId163" o:title=""/>
            <o:lock v:ext="edit" aspectratio="t"/>
            <w10:wrap type="none"/>
            <w10:anchorlock/>
          </v:shape>
          <o:OLEObject Type="Embed" ProgID="Equation.3" ShapeID="_x0000_i1099" DrawAspect="Content" ObjectID="_1468075799" r:id="rId162">
            <o:LockedField>false</o:LockedField>
          </o:OLEObject>
        </w:object>
      </w:r>
      <w:r>
        <w:rPr>
          <w:color w:val="000000"/>
          <w:position w:val="-12"/>
          <w:sz w:val="24"/>
        </w:rPr>
        <w:object>
          <v:shape id="_x0000_i1100" o:spt="75" type="#_x0000_t75" style="height:17.55pt;width:164.65pt;" o:ole="t" filled="f" o:preferrelative="t" stroked="f" coordsize="21600,21600">
            <v:path/>
            <v:fill on="f" focussize="0,0"/>
            <v:stroke on="f" joinstyle="miter"/>
            <v:imagedata r:id="rId165" o:title=""/>
            <o:lock v:ext="edit" aspectratio="t"/>
            <w10:wrap type="none"/>
            <w10:anchorlock/>
          </v:shape>
          <o:OLEObject Type="Embed" ProgID="Equation.3" ShapeID="_x0000_i1100" DrawAspect="Content" ObjectID="_1468075800" r:id="rId164">
            <o:LockedField>false</o:LockedField>
          </o:OLEObject>
        </w:object>
      </w:r>
      <w:r>
        <w:rPr>
          <w:rFonts w:hint="eastAsia"/>
          <w:color w:val="000000"/>
          <w:sz w:val="24"/>
        </w:rPr>
        <w:t>，属B类不确定度。</w:t>
      </w:r>
    </w:p>
    <w:p>
      <w:pPr>
        <w:spacing w:line="360" w:lineRule="auto"/>
        <w:jc w:val="left"/>
        <w:rPr>
          <w:position w:val="-14"/>
          <w:sz w:val="24"/>
        </w:rPr>
      </w:pPr>
      <w:r>
        <w:rPr>
          <w:rFonts w:hint="eastAsia" w:eastAsia="黑体"/>
          <w:color w:val="000000"/>
          <w:sz w:val="24"/>
        </w:rPr>
        <w:t>D.3.1.8</w:t>
      </w:r>
      <w:r>
        <w:rPr>
          <w:rFonts w:hint="eastAsia"/>
          <w:sz w:val="24"/>
        </w:rPr>
        <w:t xml:space="preserve">  其它项引入的相对标准不确定度分量</w:t>
      </w:r>
      <w:r>
        <w:rPr>
          <w:position w:val="-14"/>
          <w:sz w:val="24"/>
        </w:rPr>
        <w:object>
          <v:shape id="_x0000_i1101" o:spt="75" type="#_x0000_t75" style="height:19.4pt;width:41.95pt;" o:ole="t" filled="f" o:preferrelative="t" stroked="f" coordsize="21600,21600">
            <v:path/>
            <v:fill on="f" focussize="0,0"/>
            <v:stroke on="f" joinstyle="miter"/>
            <v:imagedata r:id="rId167" o:title=""/>
            <o:lock v:ext="edit" aspectratio="t"/>
            <w10:wrap type="none"/>
            <w10:anchorlock/>
          </v:shape>
          <o:OLEObject Type="Embed" ProgID="Equation.3" ShapeID="_x0000_i1101" DrawAspect="Content" ObjectID="_1468075801" r:id="rId166">
            <o:LockedField>false</o:LockedField>
          </o:OLEObject>
        </w:object>
      </w:r>
    </w:p>
    <w:p>
      <w:pPr>
        <w:spacing w:line="360" w:lineRule="auto"/>
        <w:jc w:val="left"/>
        <w:rPr>
          <w:color w:val="000000"/>
          <w:sz w:val="24"/>
        </w:rPr>
      </w:pPr>
      <w:r>
        <w:rPr>
          <w:rFonts w:hint="eastAsia"/>
          <w:position w:val="-14"/>
          <w:sz w:val="24"/>
        </w:rPr>
        <w:tab/>
      </w:r>
      <w:r>
        <w:rPr>
          <w:rFonts w:hint="eastAsia"/>
          <w:sz w:val="24"/>
        </w:rPr>
        <w:t>标准剂量计非线性、极化效应、符合损失等的不确定度</w:t>
      </w:r>
      <w:r>
        <w:rPr>
          <w:position w:val="-14"/>
          <w:sz w:val="24"/>
        </w:rPr>
        <w:object>
          <v:shape id="_x0000_i1102" o:spt="75" type="#_x0000_t75" style="height:19.4pt;width:78.25pt;" o:ole="t" filled="f" o:preferrelative="t" stroked="f" coordsize="21600,21600">
            <v:path/>
            <v:fill on="f" focussize="0,0"/>
            <v:stroke on="f" joinstyle="miter"/>
            <v:imagedata r:id="rId169" o:title=""/>
            <o:lock v:ext="edit" aspectratio="t"/>
            <w10:wrap type="none"/>
            <w10:anchorlock/>
          </v:shape>
          <o:OLEObject Type="Embed" ProgID="Equation.3" ShapeID="_x0000_i1102" DrawAspect="Content" ObjectID="_1468075802" r:id="rId168">
            <o:LockedField>false</o:LockedField>
          </o:OLEObject>
        </w:object>
      </w:r>
      <w:r>
        <w:rPr>
          <w:rFonts w:hint="eastAsia"/>
          <w:sz w:val="24"/>
        </w:rPr>
        <w:t>，</w:t>
      </w:r>
      <w:r>
        <w:rPr>
          <w:rFonts w:hint="eastAsia"/>
          <w:color w:val="000000"/>
          <w:sz w:val="24"/>
        </w:rPr>
        <w:t>属B类不确定度。</w:t>
      </w:r>
    </w:p>
    <w:p>
      <w:pPr>
        <w:spacing w:line="360" w:lineRule="auto"/>
        <w:jc w:val="left"/>
        <w:rPr>
          <w:rFonts w:eastAsia="黑体"/>
          <w:color w:val="000000"/>
          <w:sz w:val="24"/>
        </w:rPr>
      </w:pPr>
      <w:r>
        <w:rPr>
          <w:rFonts w:hint="eastAsia" w:eastAsia="黑体"/>
          <w:color w:val="000000"/>
          <w:sz w:val="24"/>
        </w:rPr>
        <w:t>D.3.2  被校剂量计测量引入的相对标准不确定度</w:t>
      </w:r>
    </w:p>
    <w:p>
      <w:pPr>
        <w:spacing w:line="360" w:lineRule="auto"/>
        <w:ind w:firstLine="420"/>
        <w:jc w:val="left"/>
        <w:rPr>
          <w:position w:val="-12"/>
          <w:sz w:val="24"/>
        </w:rPr>
      </w:pPr>
      <w:r>
        <w:rPr>
          <w:rFonts w:hint="eastAsia"/>
          <w:position w:val="-12"/>
          <w:sz w:val="24"/>
        </w:rPr>
        <w:t>通过处理D.3式，可以得到被校剂量计读数的相对标准不确定度，计算如下：</w:t>
      </w:r>
    </w:p>
    <w:p>
      <w:pPr>
        <w:spacing w:line="360" w:lineRule="auto"/>
        <w:ind w:firstLine="420"/>
        <w:jc w:val="left"/>
        <w:rPr>
          <w:rFonts w:eastAsia="黑体"/>
          <w:color w:val="000000"/>
          <w:sz w:val="24"/>
        </w:rPr>
      </w:pPr>
      <w:r>
        <w:rPr>
          <w:position w:val="-14"/>
          <w:sz w:val="24"/>
        </w:rPr>
        <w:object>
          <v:shape id="_x0000_i1103" o:spt="75" type="#_x0000_t75" style="height:20.65pt;width:366.25pt;" o:ole="t" filled="f" o:preferrelative="t" stroked="f" coordsize="21600,21600">
            <v:path/>
            <v:fill on="f" focussize="0,0"/>
            <v:stroke on="f" joinstyle="miter"/>
            <v:imagedata r:id="rId171" o:title=""/>
            <o:lock v:ext="edit" aspectratio="t"/>
            <w10:wrap type="none"/>
            <w10:anchorlock/>
          </v:shape>
          <o:OLEObject Type="Embed" ProgID="Equation.3" ShapeID="_x0000_i1103" DrawAspect="Content" ObjectID="_1468075803" r:id="rId170">
            <o:LockedField>false</o:LockedField>
          </o:OLEObject>
        </w:object>
      </w:r>
      <w:r>
        <w:rPr>
          <w:rFonts w:hint="eastAsia"/>
          <w:position w:val="-12"/>
          <w:sz w:val="24"/>
        </w:rPr>
        <w:t>（D.5）</w:t>
      </w:r>
    </w:p>
    <w:p>
      <w:pPr>
        <w:spacing w:line="360" w:lineRule="auto"/>
        <w:jc w:val="left"/>
        <w:rPr>
          <w:position w:val="-12"/>
          <w:sz w:val="24"/>
        </w:rPr>
      </w:pPr>
      <w:r>
        <w:rPr>
          <w:rFonts w:hint="eastAsia" w:eastAsia="黑体"/>
          <w:color w:val="000000"/>
          <w:sz w:val="24"/>
        </w:rPr>
        <w:t>D.3.2.1</w:t>
      </w:r>
      <w:r>
        <w:rPr>
          <w:rFonts w:hint="eastAsia"/>
          <w:sz w:val="24"/>
        </w:rPr>
        <w:t xml:space="preserve">  被校剂量计测量读数引入的相对标准不确定度</w:t>
      </w:r>
      <w:r>
        <w:rPr>
          <w:position w:val="-12"/>
          <w:sz w:val="24"/>
        </w:rPr>
        <w:object>
          <v:shape id="_x0000_i1104" o:spt="75" type="#_x0000_t75" style="height:18.8pt;width:43.85pt;" o:ole="t" filled="f" o:preferrelative="t" stroked="f" coordsize="21600,21600">
            <v:path/>
            <v:fill on="f" focussize="0,0"/>
            <v:stroke on="f" joinstyle="miter"/>
            <v:imagedata r:id="rId173" o:title=""/>
            <o:lock v:ext="edit" aspectratio="t"/>
            <w10:wrap type="none"/>
            <w10:anchorlock/>
          </v:shape>
          <o:OLEObject Type="Embed" ProgID="Equation.3" ShapeID="_x0000_i1104" DrawAspect="Content" ObjectID="_1468075804" r:id="rId172">
            <o:LockedField>false</o:LockedField>
          </o:OLEObject>
        </w:object>
      </w:r>
    </w:p>
    <w:p>
      <w:pPr>
        <w:spacing w:line="360" w:lineRule="auto"/>
        <w:jc w:val="left"/>
        <w:rPr>
          <w:sz w:val="24"/>
        </w:rPr>
      </w:pPr>
      <w:r>
        <w:rPr>
          <w:rFonts w:hint="eastAsia"/>
          <w:position w:val="-12"/>
          <w:sz w:val="24"/>
        </w:rPr>
        <w:tab/>
      </w:r>
      <w:r>
        <w:rPr>
          <w:rFonts w:hint="eastAsia"/>
          <w:position w:val="-12"/>
          <w:sz w:val="24"/>
        </w:rPr>
        <w:t>被校剂量计测量读数的不确定度由测量重复性给出。依据本规范的要求测量</w:t>
      </w:r>
      <w:r>
        <w:rPr>
          <w:rFonts w:hint="eastAsia"/>
          <w:sz w:val="24"/>
        </w:rPr>
        <w:t>10次不超过1.0%，因此。被校剂量计的测量不确定度</w:t>
      </w:r>
      <w:r>
        <w:rPr>
          <w:position w:val="-12"/>
          <w:sz w:val="24"/>
        </w:rPr>
        <w:object>
          <v:shape id="_x0000_i1105" o:spt="75" type="#_x0000_t75" style="height:19.4pt;width:143.35pt;" o:ole="t" filled="f" o:preferrelative="t" stroked="f" coordsize="21600,21600">
            <v:path/>
            <v:fill on="f" focussize="0,0"/>
            <v:stroke on="f" joinstyle="miter"/>
            <v:imagedata r:id="rId175" o:title=""/>
            <o:lock v:ext="edit" aspectratio="t"/>
            <w10:wrap type="none"/>
            <w10:anchorlock/>
          </v:shape>
          <o:OLEObject Type="Embed" ProgID="Equation.3" ShapeID="_x0000_i1105" DrawAspect="Content" ObjectID="_1468075805" r:id="rId174">
            <o:LockedField>false</o:LockedField>
          </o:OLEObject>
        </w:object>
      </w:r>
      <w:r>
        <w:rPr>
          <w:rFonts w:hint="eastAsia"/>
          <w:sz w:val="24"/>
        </w:rPr>
        <w:t>。属A类不确定度。</w:t>
      </w:r>
    </w:p>
    <w:p>
      <w:pPr>
        <w:spacing w:line="360" w:lineRule="auto"/>
        <w:jc w:val="left"/>
        <w:rPr>
          <w:position w:val="-14"/>
          <w:sz w:val="24"/>
        </w:rPr>
      </w:pPr>
      <w:r>
        <w:rPr>
          <w:rFonts w:hint="eastAsia" w:eastAsia="黑体"/>
          <w:color w:val="000000"/>
          <w:sz w:val="24"/>
        </w:rPr>
        <w:t>D.3.2.2</w:t>
      </w:r>
      <w:r>
        <w:rPr>
          <w:rFonts w:hint="eastAsia"/>
          <w:sz w:val="24"/>
        </w:rPr>
        <w:t xml:space="preserve">  温度引入的相对标准不确定度分量</w:t>
      </w:r>
      <w:r>
        <w:rPr>
          <w:position w:val="-12"/>
          <w:sz w:val="24"/>
        </w:rPr>
        <w:object>
          <v:shape id="_x0000_i1106" o:spt="75" type="#_x0000_t75" style="height:18.8pt;width:35.7pt;" o:ole="t" filled="f" o:preferrelative="t" stroked="f" coordsize="21600,21600">
            <v:path/>
            <v:fill on="f" focussize="0,0"/>
            <v:stroke on="f" joinstyle="miter"/>
            <v:imagedata r:id="rId177" o:title=""/>
            <o:lock v:ext="edit" aspectratio="t"/>
            <w10:wrap type="none"/>
            <w10:anchorlock/>
          </v:shape>
          <o:OLEObject Type="Embed" ProgID="Equation.3" ShapeID="_x0000_i1106" DrawAspect="Content" ObjectID="_1468075806" r:id="rId176">
            <o:LockedField>false</o:LockedField>
          </o:OLEObject>
        </w:object>
      </w:r>
    </w:p>
    <w:p>
      <w:pPr>
        <w:spacing w:line="360" w:lineRule="auto"/>
        <w:jc w:val="left"/>
        <w:rPr>
          <w:sz w:val="24"/>
        </w:rPr>
      </w:pPr>
      <w:r>
        <w:rPr>
          <w:rFonts w:hint="eastAsia"/>
          <w:sz w:val="24"/>
        </w:rPr>
        <w:tab/>
      </w:r>
      <w:r>
        <w:rPr>
          <w:rFonts w:hint="eastAsia"/>
          <w:sz w:val="24"/>
        </w:rPr>
        <w:t>同D.3.1.3分析，</w:t>
      </w:r>
      <w:r>
        <w:rPr>
          <w:position w:val="-12"/>
          <w:sz w:val="24"/>
        </w:rPr>
        <w:object>
          <v:shape id="_x0000_i1107" o:spt="75" type="#_x0000_t75" style="height:18.8pt;width:77.65pt;" o:ole="t" filled="f" o:preferrelative="t" stroked="f" coordsize="21600,21600">
            <v:path/>
            <v:fill on="f" focussize="0,0"/>
            <v:stroke on="f" joinstyle="miter"/>
            <v:imagedata r:id="rId179" o:title=""/>
            <o:lock v:ext="edit" aspectratio="t"/>
            <w10:wrap type="none"/>
            <w10:anchorlock/>
          </v:shape>
          <o:OLEObject Type="Embed" ProgID="Equation.3" ShapeID="_x0000_i1107" DrawAspect="Content" ObjectID="_1468075807" r:id="rId178">
            <o:LockedField>false</o:LockedField>
          </o:OLEObject>
        </w:object>
      </w:r>
      <w:r>
        <w:rPr>
          <w:rFonts w:hint="eastAsia"/>
          <w:sz w:val="24"/>
        </w:rPr>
        <w:t>，属B类不确定度。</w:t>
      </w:r>
    </w:p>
    <w:p>
      <w:pPr>
        <w:spacing w:line="360" w:lineRule="auto"/>
        <w:jc w:val="left"/>
        <w:rPr>
          <w:position w:val="-14"/>
          <w:sz w:val="24"/>
        </w:rPr>
      </w:pPr>
      <w:r>
        <w:rPr>
          <w:rFonts w:hint="eastAsia" w:eastAsia="黑体"/>
          <w:color w:val="000000"/>
          <w:sz w:val="24"/>
        </w:rPr>
        <w:t>D.3.2.3</w:t>
      </w:r>
      <w:r>
        <w:rPr>
          <w:rFonts w:hint="eastAsia"/>
          <w:sz w:val="24"/>
        </w:rPr>
        <w:t xml:space="preserve">  气压引入的相对标准不确定度分量</w:t>
      </w:r>
      <w:r>
        <w:rPr>
          <w:position w:val="-12"/>
          <w:sz w:val="24"/>
        </w:rPr>
        <w:object>
          <v:shape id="_x0000_i1108" o:spt="75" type="#_x0000_t75" style="height:18.8pt;width:41.3pt;" o:ole="t" filled="f" o:preferrelative="t" stroked="f" coordsize="21600,21600">
            <v:path/>
            <v:fill on="f" focussize="0,0"/>
            <v:stroke on="f" joinstyle="miter"/>
            <v:imagedata r:id="rId181" o:title=""/>
            <o:lock v:ext="edit" aspectratio="t"/>
            <w10:wrap type="none"/>
            <w10:anchorlock/>
          </v:shape>
          <o:OLEObject Type="Embed" ProgID="Equation.3" ShapeID="_x0000_i1108" DrawAspect="Content" ObjectID="_1468075808" r:id="rId180">
            <o:LockedField>false</o:LockedField>
          </o:OLEObject>
        </w:object>
      </w:r>
    </w:p>
    <w:p>
      <w:pPr>
        <w:spacing w:line="360" w:lineRule="auto"/>
        <w:jc w:val="left"/>
        <w:rPr>
          <w:sz w:val="24"/>
        </w:rPr>
      </w:pPr>
      <w:r>
        <w:rPr>
          <w:rFonts w:hint="eastAsia"/>
          <w:sz w:val="24"/>
        </w:rPr>
        <w:tab/>
      </w:r>
      <w:r>
        <w:rPr>
          <w:rFonts w:hint="eastAsia"/>
          <w:sz w:val="24"/>
        </w:rPr>
        <w:t>同D.3.1.4分析，</w:t>
      </w:r>
      <w:r>
        <w:rPr>
          <w:position w:val="-12"/>
          <w:sz w:val="24"/>
        </w:rPr>
        <w:object>
          <v:shape id="_x0000_i1109" o:spt="75" type="#_x0000_t75" style="height:18.8pt;width:83.25pt;" o:ole="t" filled="f" o:preferrelative="t" stroked="f" coordsize="21600,21600">
            <v:path/>
            <v:fill on="f" focussize="0,0"/>
            <v:stroke on="f" joinstyle="miter"/>
            <v:imagedata r:id="rId183" o:title=""/>
            <o:lock v:ext="edit" aspectratio="t"/>
            <w10:wrap type="none"/>
            <w10:anchorlock/>
          </v:shape>
          <o:OLEObject Type="Embed" ProgID="Equation.3" ShapeID="_x0000_i1109" DrawAspect="Content" ObjectID="_1468075809" r:id="rId182">
            <o:LockedField>false</o:LockedField>
          </o:OLEObject>
        </w:object>
      </w:r>
      <w:r>
        <w:rPr>
          <w:rFonts w:hint="eastAsia"/>
          <w:sz w:val="24"/>
        </w:rPr>
        <w:t>，属B类不确定度。</w:t>
      </w:r>
    </w:p>
    <w:p>
      <w:pPr>
        <w:spacing w:line="360" w:lineRule="auto"/>
        <w:jc w:val="left"/>
        <w:rPr>
          <w:position w:val="-12"/>
          <w:sz w:val="24"/>
        </w:rPr>
      </w:pPr>
      <w:r>
        <w:rPr>
          <w:rFonts w:hint="eastAsia" w:eastAsia="黑体"/>
          <w:color w:val="000000"/>
          <w:sz w:val="24"/>
        </w:rPr>
        <w:t>D.3.2.4</w:t>
      </w:r>
      <w:r>
        <w:rPr>
          <w:rFonts w:hint="eastAsia"/>
          <w:sz w:val="24"/>
        </w:rPr>
        <w:t xml:space="preserve">  定位引入的相对标准不确定度分量</w:t>
      </w:r>
      <w:r>
        <w:rPr>
          <w:position w:val="-12"/>
          <w:sz w:val="24"/>
        </w:rPr>
        <w:object>
          <v:shape id="_x0000_i1110" o:spt="75" type="#_x0000_t75" style="height:18.8pt;width:38.2pt;" o:ole="t" filled="f" o:preferrelative="t" stroked="f" coordsize="21600,21600">
            <v:path/>
            <v:fill on="f" focussize="0,0"/>
            <v:stroke on="f" joinstyle="miter"/>
            <v:imagedata r:id="rId185" o:title=""/>
            <o:lock v:ext="edit" aspectratio="t"/>
            <w10:wrap type="none"/>
            <w10:anchorlock/>
          </v:shape>
          <o:OLEObject Type="Embed" ProgID="Equation.3" ShapeID="_x0000_i1110" DrawAspect="Content" ObjectID="_1468075810" r:id="rId184">
            <o:LockedField>false</o:LockedField>
          </o:OLEObject>
        </w:object>
      </w:r>
    </w:p>
    <w:p>
      <w:pPr>
        <w:spacing w:line="360" w:lineRule="auto"/>
        <w:jc w:val="center"/>
        <w:rPr>
          <w:position w:val="-14"/>
          <w:sz w:val="24"/>
        </w:rPr>
      </w:pPr>
      <w:r>
        <w:rPr>
          <w:position w:val="-30"/>
          <w:sz w:val="24"/>
        </w:rPr>
        <w:object>
          <v:shape id="_x0000_i1111" o:spt="75" type="#_x0000_t75" style="height:36.3pt;width:194.7pt;" o:ole="t" filled="f" o:preferrelative="t" stroked="f" coordsize="21600,21600">
            <v:path/>
            <v:fill on="f" focussize="0,0"/>
            <v:stroke on="f" joinstyle="miter"/>
            <v:imagedata r:id="rId187" o:title=""/>
            <o:lock v:ext="edit" aspectratio="t"/>
            <w10:wrap type="none"/>
            <w10:anchorlock/>
          </v:shape>
          <o:OLEObject Type="Embed" ProgID="Equation.3" ShapeID="_x0000_i1111" DrawAspect="Content" ObjectID="_1468075811" r:id="rId186">
            <o:LockedField>false</o:LockedField>
          </o:OLEObject>
        </w:object>
      </w:r>
    </w:p>
    <w:p>
      <w:pPr>
        <w:spacing w:line="360" w:lineRule="auto"/>
        <w:jc w:val="left"/>
        <w:rPr>
          <w:sz w:val="24"/>
        </w:rPr>
      </w:pPr>
      <w:r>
        <w:rPr>
          <w:rFonts w:hint="eastAsia"/>
          <w:position w:val="-14"/>
          <w:sz w:val="24"/>
        </w:rPr>
        <w:tab/>
      </w:r>
      <w:r>
        <w:rPr>
          <w:rFonts w:hint="eastAsia"/>
          <w:position w:val="-14"/>
          <w:sz w:val="24"/>
        </w:rPr>
        <w:t>读数的大小与电离室到焦点的距离（焦室距）的平方成反比。假设辐射源与标准剂</w:t>
      </w:r>
      <w:r>
        <w:rPr>
          <w:rFonts w:hint="eastAsia"/>
          <w:sz w:val="24"/>
        </w:rPr>
        <w:t>量计的距离为1000 mm，被校剂量计的定位误差不超过±1mm，通过计算可知</w:t>
      </w:r>
      <w:r>
        <w:rPr>
          <w:position w:val="-24"/>
          <w:sz w:val="24"/>
        </w:rPr>
        <w:object>
          <v:shape id="_x0000_i1112" o:spt="75" type="#_x0000_t75" style="height:30.7pt;width:172.8pt;" o:ole="t" filled="f" o:preferrelative="t" stroked="f" coordsize="21600,21600">
            <v:path/>
            <v:fill on="f" focussize="0,0"/>
            <v:stroke on="f" joinstyle="miter"/>
            <v:imagedata r:id="rId189" o:title=""/>
            <o:lock v:ext="edit" aspectratio="t"/>
            <w10:wrap type="none"/>
            <w10:anchorlock/>
          </v:shape>
          <o:OLEObject Type="Embed" ProgID="Equation.3" ShapeID="_x0000_i1112" DrawAspect="Content" ObjectID="_1468075812" r:id="rId188">
            <o:LockedField>false</o:LockedField>
          </o:OLEObject>
        </w:object>
      </w:r>
      <w:r>
        <w:rPr>
          <w:rFonts w:hint="eastAsia"/>
          <w:sz w:val="24"/>
        </w:rPr>
        <w:t>，即</w:t>
      </w:r>
      <w:r>
        <w:rPr>
          <w:position w:val="-12"/>
          <w:sz w:val="24"/>
        </w:rPr>
        <w:object>
          <v:shape id="_x0000_i1113" o:spt="75" type="#_x0000_t75" style="height:18.8pt;width:55.1pt;" o:ole="t" filled="f" o:preferrelative="t" stroked="f" coordsize="21600,21600">
            <v:path/>
            <v:fill on="f" focussize="0,0"/>
            <v:stroke on="f" joinstyle="miter"/>
            <v:imagedata r:id="rId191" o:title=""/>
            <o:lock v:ext="edit" aspectratio="t"/>
            <w10:wrap type="none"/>
            <w10:anchorlock/>
          </v:shape>
          <o:OLEObject Type="Embed" ProgID="Equation.3" ShapeID="_x0000_i1113" DrawAspect="Content" ObjectID="_1468075813" r:id="rId190">
            <o:LockedField>false</o:LockedField>
          </o:OLEObject>
        </w:object>
      </w:r>
      <w:r>
        <w:rPr>
          <w:rFonts w:hint="eastAsia"/>
          <w:sz w:val="24"/>
        </w:rPr>
        <w:t>,取均匀分布，</w:t>
      </w:r>
      <w:r>
        <w:rPr>
          <w:position w:val="-8"/>
          <w:sz w:val="24"/>
        </w:rPr>
        <w:object>
          <v:shape id="_x0000_i1114" o:spt="75" type="#_x0000_t75" style="height:18.8pt;width:36.3pt;" o:ole="t" filled="f" o:preferrelative="t" stroked="f" coordsize="21600,21600">
            <v:path/>
            <v:fill on="f" focussize="0,0"/>
            <v:stroke on="f" joinstyle="miter"/>
            <v:imagedata r:id="rId193" o:title=""/>
            <o:lock v:ext="edit" aspectratio="t"/>
            <w10:wrap type="none"/>
            <w10:anchorlock/>
          </v:shape>
          <o:OLEObject Type="Embed" ProgID="Equation.3" ShapeID="_x0000_i1114" DrawAspect="Content" ObjectID="_1468075814" r:id="rId192">
            <o:LockedField>false</o:LockedField>
          </o:OLEObject>
        </w:object>
      </w:r>
      <w:r>
        <w:rPr>
          <w:rFonts w:hint="eastAsia"/>
          <w:sz w:val="24"/>
        </w:rPr>
        <w:t>，</w:t>
      </w:r>
      <w:r>
        <w:rPr>
          <w:position w:val="-12"/>
          <w:sz w:val="24"/>
        </w:rPr>
        <w:object>
          <v:shape id="_x0000_i1115" o:spt="75" type="#_x0000_t75" style="height:18.8pt;width:79.5pt;" o:ole="t" filled="f" o:preferrelative="t" stroked="f" coordsize="21600,21600">
            <v:path/>
            <v:fill on="f" focussize="0,0"/>
            <v:stroke on="f" joinstyle="miter"/>
            <v:imagedata r:id="rId195" o:title=""/>
            <o:lock v:ext="edit" aspectratio="t"/>
            <w10:wrap type="none"/>
            <w10:anchorlock/>
          </v:shape>
          <o:OLEObject Type="Embed" ProgID="Equation.3" ShapeID="_x0000_i1115" DrawAspect="Content" ObjectID="_1468075815" r:id="rId194">
            <o:LockedField>false</o:LockedField>
          </o:OLEObject>
        </w:object>
      </w:r>
      <w:r>
        <w:rPr>
          <w:rFonts w:hint="eastAsia"/>
          <w:sz w:val="24"/>
        </w:rPr>
        <w:t>。属B类不确定度。</w:t>
      </w:r>
    </w:p>
    <w:p>
      <w:pPr>
        <w:spacing w:line="360" w:lineRule="auto"/>
        <w:jc w:val="left"/>
        <w:rPr>
          <w:position w:val="-14"/>
          <w:sz w:val="24"/>
        </w:rPr>
      </w:pPr>
      <w:r>
        <w:rPr>
          <w:rFonts w:hint="eastAsia" w:eastAsia="黑体"/>
          <w:color w:val="000000"/>
          <w:sz w:val="24"/>
        </w:rPr>
        <w:t>D.3.2.5</w:t>
      </w:r>
      <w:r>
        <w:rPr>
          <w:rFonts w:hint="eastAsia"/>
          <w:sz w:val="24"/>
        </w:rPr>
        <w:t xml:space="preserve">  漏电效应引入的相对标准不确定度分量</w:t>
      </w:r>
      <w:r>
        <w:rPr>
          <w:position w:val="-14"/>
          <w:sz w:val="24"/>
        </w:rPr>
        <w:object>
          <v:shape id="_x0000_i1116" o:spt="75" type="#_x0000_t75" style="height:19.4pt;width:41.95pt;" o:ole="t" filled="f" o:preferrelative="t" stroked="f" coordsize="21600,21600">
            <v:path/>
            <v:fill on="f" focussize="0,0"/>
            <v:stroke on="f" joinstyle="miter"/>
            <v:imagedata r:id="rId197" o:title=""/>
            <o:lock v:ext="edit" aspectratio="t"/>
            <w10:wrap type="none"/>
            <w10:anchorlock/>
          </v:shape>
          <o:OLEObject Type="Embed" ProgID="Equation.3" ShapeID="_x0000_i1116" DrawAspect="Content" ObjectID="_1468075816" r:id="rId196">
            <o:LockedField>false</o:LockedField>
          </o:OLEObject>
        </w:object>
      </w:r>
    </w:p>
    <w:p>
      <w:pPr>
        <w:spacing w:line="360" w:lineRule="auto"/>
        <w:ind w:firstLine="420"/>
        <w:jc w:val="left"/>
        <w:rPr>
          <w:position w:val="-14"/>
          <w:sz w:val="24"/>
        </w:rPr>
      </w:pPr>
      <w:r>
        <w:rPr>
          <w:rFonts w:hint="eastAsia"/>
          <w:sz w:val="24"/>
        </w:rPr>
        <w:t>同D.3.1.6分析，</w:t>
      </w:r>
      <w:r>
        <w:rPr>
          <w:position w:val="-14"/>
          <w:sz w:val="24"/>
        </w:rPr>
        <w:object>
          <v:shape id="_x0000_i1117" o:spt="75" type="#_x0000_t75" style="height:20.65pt;width:87.05pt;" o:ole="t" filled="f" o:preferrelative="t" stroked="f" coordsize="21600,21600">
            <v:path/>
            <v:fill on="f" focussize="0,0"/>
            <v:stroke on="f" joinstyle="miter"/>
            <v:imagedata r:id="rId199" o:title=""/>
            <o:lock v:ext="edit" aspectratio="t"/>
            <w10:wrap type="none"/>
            <w10:anchorlock/>
          </v:shape>
          <o:OLEObject Type="Embed" ProgID="Equation.3" ShapeID="_x0000_i1117" DrawAspect="Content" ObjectID="_1468075817" r:id="rId198">
            <o:LockedField>false</o:LockedField>
          </o:OLEObject>
        </w:object>
      </w:r>
      <w:r>
        <w:rPr>
          <w:rFonts w:hint="eastAsia"/>
          <w:sz w:val="24"/>
        </w:rPr>
        <w:t>，属B类不确定度。</w:t>
      </w:r>
    </w:p>
    <w:p>
      <w:pPr>
        <w:spacing w:line="360" w:lineRule="auto"/>
        <w:jc w:val="left"/>
        <w:rPr>
          <w:position w:val="-14"/>
          <w:sz w:val="24"/>
        </w:rPr>
      </w:pPr>
      <w:r>
        <w:rPr>
          <w:rFonts w:hint="eastAsia" w:eastAsia="黑体"/>
          <w:color w:val="000000"/>
          <w:sz w:val="24"/>
        </w:rPr>
        <w:t>D.3.2.6</w:t>
      </w:r>
      <w:r>
        <w:rPr>
          <w:rFonts w:hint="eastAsia"/>
          <w:sz w:val="24"/>
        </w:rPr>
        <w:t xml:space="preserve">  时间项引入的相对标准不确定度分量</w:t>
      </w:r>
      <w:r>
        <w:rPr>
          <w:position w:val="-14"/>
          <w:sz w:val="24"/>
        </w:rPr>
        <w:object>
          <v:shape id="_x0000_i1118" o:spt="75" type="#_x0000_t75" style="height:19.4pt;width:41.95pt;" o:ole="t" filled="f" o:preferrelative="t" stroked="f" coordsize="21600,21600">
            <v:path/>
            <v:fill on="f" focussize="0,0"/>
            <v:stroke on="f" joinstyle="miter"/>
            <v:imagedata r:id="rId201" o:title=""/>
            <o:lock v:ext="edit" aspectratio="t"/>
            <w10:wrap type="none"/>
            <w10:anchorlock/>
          </v:shape>
          <o:OLEObject Type="Embed" ProgID="Equation.3" ShapeID="_x0000_i1118" DrawAspect="Content" ObjectID="_1468075818" r:id="rId200">
            <o:LockedField>false</o:LockedField>
          </o:OLEObject>
        </w:object>
      </w:r>
    </w:p>
    <w:p>
      <w:pPr>
        <w:spacing w:line="360" w:lineRule="auto"/>
        <w:jc w:val="center"/>
        <w:rPr>
          <w:position w:val="-14"/>
          <w:sz w:val="24"/>
        </w:rPr>
      </w:pPr>
      <w:r>
        <w:rPr>
          <w:position w:val="-32"/>
          <w:sz w:val="24"/>
        </w:rPr>
        <w:object>
          <v:shape id="_x0000_i1119" o:spt="75" type="#_x0000_t75" style="height:38.2pt;width:212.25pt;" o:ole="t" filled="f" o:preferrelative="t" stroked="f" coordsize="21600,21600">
            <v:path/>
            <v:fill on="f" focussize="0,0"/>
            <v:stroke on="f" joinstyle="miter"/>
            <v:imagedata r:id="rId203" o:title=""/>
            <o:lock v:ext="edit" aspectratio="t"/>
            <w10:wrap type="none"/>
            <w10:anchorlock/>
          </v:shape>
          <o:OLEObject Type="Embed" ProgID="Equation.3" ShapeID="_x0000_i1119" DrawAspect="Content" ObjectID="_1468075819" r:id="rId202">
            <o:LockedField>false</o:LockedField>
          </o:OLEObject>
        </w:object>
      </w:r>
    </w:p>
    <w:p>
      <w:pPr>
        <w:spacing w:line="360" w:lineRule="auto"/>
        <w:jc w:val="left"/>
        <w:rPr>
          <w:color w:val="000000"/>
          <w:sz w:val="24"/>
        </w:rPr>
      </w:pPr>
      <w:r>
        <w:rPr>
          <w:rFonts w:hint="eastAsia"/>
          <w:position w:val="-14"/>
          <w:sz w:val="24"/>
        </w:rPr>
        <w:tab/>
      </w:r>
      <w:r>
        <w:rPr>
          <w:rFonts w:hint="eastAsia"/>
          <w:color w:val="000000"/>
          <w:sz w:val="24"/>
        </w:rPr>
        <w:t>测量时间为60s，假设测量时间误差为±0.05s，此时</w:t>
      </w:r>
      <w:r>
        <w:rPr>
          <w:color w:val="000000"/>
          <w:position w:val="-14"/>
          <w:sz w:val="24"/>
        </w:rPr>
        <w:object>
          <v:shape id="_x0000_i1120" o:spt="75" type="#_x0000_t75" style="height:18.8pt;width:18.8pt;" o:ole="t" filled="f" o:preferrelative="t" stroked="f" coordsize="21600,21600">
            <v:path/>
            <v:fill on="f" focussize="0,0"/>
            <v:stroke on="f" joinstyle="miter"/>
            <v:imagedata r:id="rId205" o:title=""/>
            <o:lock v:ext="edit" aspectratio="t"/>
            <w10:wrap type="none"/>
            <w10:anchorlock/>
          </v:shape>
          <o:OLEObject Type="Embed" ProgID="Equation.3" ShapeID="_x0000_i1120" DrawAspect="Content" ObjectID="_1468075820" r:id="rId204">
            <o:LockedField>false</o:LockedField>
          </o:OLEObject>
        </w:object>
      </w:r>
      <w:r>
        <w:rPr>
          <w:rFonts w:hint="eastAsia"/>
          <w:color w:val="000000"/>
          <w:sz w:val="24"/>
        </w:rPr>
        <w:t>=0.05/60=0.08%。取均匀分布，</w:t>
      </w:r>
      <w:r>
        <w:rPr>
          <w:color w:val="000000"/>
          <w:position w:val="-8"/>
          <w:sz w:val="24"/>
        </w:rPr>
        <w:object>
          <v:shape id="_x0000_i1121" o:spt="75" type="#_x0000_t75" style="height:18.8pt;width:35.7pt;" o:ole="t" filled="f" o:preferrelative="t" stroked="f" coordsize="21600,21600">
            <v:path/>
            <v:fill on="f" focussize="0,0"/>
            <v:stroke on="f" joinstyle="miter"/>
            <v:imagedata r:id="rId207" o:title=""/>
            <o:lock v:ext="edit" aspectratio="t"/>
            <w10:wrap type="none"/>
            <w10:anchorlock/>
          </v:shape>
          <o:OLEObject Type="Embed" ProgID="Equation.3" ShapeID="_x0000_i1121" DrawAspect="Content" ObjectID="_1468075821" r:id="rId206">
            <o:LockedField>false</o:LockedField>
          </o:OLEObject>
        </w:object>
      </w:r>
      <w:r>
        <w:rPr>
          <w:rFonts w:hint="eastAsia"/>
          <w:color w:val="000000"/>
          <w:sz w:val="24"/>
        </w:rPr>
        <w:t>，</w:t>
      </w:r>
      <w:r>
        <w:rPr>
          <w:color w:val="000000"/>
          <w:position w:val="-14"/>
          <w:sz w:val="24"/>
        </w:rPr>
        <w:object>
          <v:shape id="_x0000_i1122" o:spt="75" type="#_x0000_t75" style="height:20.65pt;width:132.75pt;" o:ole="t" filled="f" o:preferrelative="t" stroked="f" coordsize="21600,21600">
            <v:path/>
            <v:fill on="f" focussize="0,0"/>
            <v:stroke on="f" joinstyle="miter"/>
            <v:imagedata r:id="rId209" o:title=""/>
            <o:lock v:ext="edit" aspectratio="t"/>
            <w10:wrap type="none"/>
            <w10:anchorlock/>
          </v:shape>
          <o:OLEObject Type="Embed" ProgID="Equation.3" ShapeID="_x0000_i1122" DrawAspect="Content" ObjectID="_1468075822" r:id="rId208">
            <o:LockedField>false</o:LockedField>
          </o:OLEObject>
        </w:object>
      </w:r>
      <w:r>
        <w:rPr>
          <w:rFonts w:hint="eastAsia"/>
          <w:color w:val="000000"/>
          <w:sz w:val="24"/>
        </w:rPr>
        <w:t>，</w:t>
      </w:r>
      <w:r>
        <w:rPr>
          <w:color w:val="000000"/>
          <w:position w:val="-14"/>
          <w:sz w:val="24"/>
        </w:rPr>
        <w:object>
          <v:shape id="_x0000_i1123" o:spt="75" type="#_x0000_t75" style="height:18.8pt;width:174.7pt;" o:ole="t" filled="f" o:preferrelative="t" stroked="f" coordsize="21600,21600">
            <v:path/>
            <v:fill on="f" focussize="0,0"/>
            <v:stroke on="f" joinstyle="miter"/>
            <v:imagedata r:id="rId211" o:title=""/>
            <o:lock v:ext="edit" aspectratio="t"/>
            <w10:wrap type="none"/>
            <w10:anchorlock/>
          </v:shape>
          <o:OLEObject Type="Embed" ProgID="Equation.3" ShapeID="_x0000_i1123" DrawAspect="Content" ObjectID="_1468075823" r:id="rId210">
            <o:LockedField>false</o:LockedField>
          </o:OLEObject>
        </w:object>
      </w:r>
      <w:r>
        <w:rPr>
          <w:rFonts w:hint="eastAsia"/>
          <w:color w:val="000000"/>
          <w:sz w:val="24"/>
        </w:rPr>
        <w:t>，属B类不确定度。</w:t>
      </w:r>
    </w:p>
    <w:p>
      <w:pPr>
        <w:spacing w:line="360" w:lineRule="auto"/>
        <w:jc w:val="left"/>
        <w:rPr>
          <w:position w:val="-14"/>
          <w:sz w:val="24"/>
        </w:rPr>
      </w:pPr>
      <w:r>
        <w:rPr>
          <w:rFonts w:hint="eastAsia" w:eastAsia="黑体"/>
          <w:color w:val="000000"/>
          <w:sz w:val="24"/>
        </w:rPr>
        <w:t>D.4</w:t>
      </w:r>
      <w:r>
        <w:rPr>
          <w:rFonts w:hint="eastAsia"/>
          <w:sz w:val="24"/>
        </w:rPr>
        <w:t xml:space="preserve">  合成的标准不确定度</w:t>
      </w:r>
      <w:r>
        <w:rPr>
          <w:position w:val="-12"/>
        </w:rPr>
        <w:object>
          <v:shape id="_x0000_i1124" o:spt="75" type="#_x0000_t75" style="height:18.8pt;width:20.65pt;" o:ole="t" filled="f" o:preferrelative="t" stroked="f" coordsize="21600,21600">
            <v:path/>
            <v:fill on="f" focussize="0,0"/>
            <v:stroke on="f" joinstyle="miter"/>
            <v:imagedata r:id="rId213" o:title=""/>
            <o:lock v:ext="edit" aspectratio="t"/>
            <w10:wrap type="none"/>
            <w10:anchorlock/>
          </v:shape>
          <o:OLEObject Type="Embed" ProgID="Equation.3" ShapeID="_x0000_i1124" DrawAspect="Content" ObjectID="_1468075824" r:id="rId212">
            <o:LockedField>false</o:LockedField>
          </o:OLEObject>
        </w:object>
      </w:r>
    </w:p>
    <w:p>
      <w:pPr>
        <w:spacing w:line="360" w:lineRule="auto"/>
        <w:jc w:val="left"/>
        <w:rPr>
          <w:position w:val="-14"/>
          <w:sz w:val="24"/>
        </w:rPr>
      </w:pPr>
      <w:r>
        <w:rPr>
          <w:rFonts w:hint="eastAsia"/>
          <w:sz w:val="24"/>
        </w:rPr>
        <w:tab/>
      </w:r>
      <w:r>
        <w:rPr>
          <w:rFonts w:hint="eastAsia"/>
          <w:sz w:val="24"/>
        </w:rPr>
        <w:t>按公式（D.4）合成，校准因子的相对标准不确定度：</w:t>
      </w:r>
      <w:r>
        <w:rPr>
          <w:position w:val="-12"/>
          <w:sz w:val="24"/>
        </w:rPr>
        <w:object>
          <v:shape id="_x0000_i1125" o:spt="75" type="#_x0000_t75" style="height:18.8pt;width:56.95pt;" o:ole="t" filled="f" o:preferrelative="t" stroked="f" coordsize="21600,21600">
            <v:path/>
            <v:fill on="f" focussize="0,0"/>
            <v:stroke on="f" joinstyle="miter"/>
            <v:imagedata r:id="rId215" o:title=""/>
            <o:lock v:ext="edit" aspectratio="t"/>
            <w10:wrap type="none"/>
            <w10:anchorlock/>
          </v:shape>
          <o:OLEObject Type="Embed" ProgID="Equation.3" ShapeID="_x0000_i1125" DrawAspect="Content" ObjectID="_1468075825" r:id="rId214">
            <o:LockedField>false</o:LockedField>
          </o:OLEObject>
        </w:object>
      </w:r>
    </w:p>
    <w:p>
      <w:pPr>
        <w:spacing w:line="360" w:lineRule="auto"/>
        <w:jc w:val="left"/>
        <w:rPr>
          <w:position w:val="-14"/>
          <w:sz w:val="24"/>
        </w:rPr>
      </w:pPr>
      <w:r>
        <w:rPr>
          <w:rFonts w:hint="eastAsia" w:eastAsia="黑体"/>
          <w:color w:val="000000"/>
          <w:sz w:val="24"/>
        </w:rPr>
        <w:t>D.5</w:t>
      </w:r>
      <w:r>
        <w:rPr>
          <w:rFonts w:hint="eastAsia"/>
          <w:sz w:val="24"/>
        </w:rPr>
        <w:t xml:space="preserve">  扩展不确定度</w:t>
      </w:r>
    </w:p>
    <w:p>
      <w:pPr>
        <w:spacing w:line="360" w:lineRule="auto"/>
        <w:jc w:val="left"/>
        <w:rPr>
          <w:color w:val="000000"/>
          <w:sz w:val="24"/>
        </w:rPr>
      </w:pPr>
      <w:r>
        <w:rPr>
          <w:rFonts w:hint="eastAsia"/>
          <w:sz w:val="24"/>
        </w:rPr>
        <w:tab/>
      </w:r>
      <w:r>
        <w:rPr>
          <w:rFonts w:hint="eastAsia"/>
          <w:sz w:val="24"/>
        </w:rPr>
        <w:t>取包含因子</w:t>
      </w:r>
      <w:r>
        <w:rPr>
          <w:position w:val="-6"/>
          <w:sz w:val="24"/>
        </w:rPr>
        <w:object>
          <v:shape id="_x0000_i1126" o:spt="75" type="#_x0000_t75" style="height:13.75pt;width:28.15pt;" o:ole="t" filled="f" o:preferrelative="t" stroked="f" coordsize="21600,21600">
            <v:path/>
            <v:fill on="f" focussize="0,0"/>
            <v:stroke on="f" joinstyle="miter"/>
            <v:imagedata r:id="rId217" o:title=""/>
            <o:lock v:ext="edit" aspectratio="t"/>
            <w10:wrap type="none"/>
            <w10:anchorlock/>
          </v:shape>
          <o:OLEObject Type="Embed" ProgID="Equation.3" ShapeID="_x0000_i1126" DrawAspect="Content" ObjectID="_1468075826" r:id="rId216">
            <o:LockedField>false</o:LockedField>
          </o:OLEObject>
        </w:object>
      </w:r>
      <w:r>
        <w:rPr>
          <w:rFonts w:hint="eastAsia"/>
          <w:sz w:val="24"/>
        </w:rPr>
        <w:t>，校准因子的扩展不确定度为：</w:t>
      </w:r>
      <w:r>
        <w:rPr>
          <w:position w:val="-12"/>
          <w:sz w:val="24"/>
        </w:rPr>
        <w:object>
          <v:shape id="_x0000_i1127" o:spt="75" type="#_x0000_t75" style="height:18.8pt;width:56.95pt;" o:ole="t" filled="f" o:preferrelative="t" stroked="f" coordsize="21600,21600">
            <v:path/>
            <v:fill on="f" focussize="0,0"/>
            <v:stroke on="f" joinstyle="miter"/>
            <v:imagedata r:id="rId219" o:title=""/>
            <o:lock v:ext="edit" aspectratio="t"/>
            <w10:wrap type="none"/>
            <w10:anchorlock/>
          </v:shape>
          <o:OLEObject Type="Embed" ProgID="Equation.3" ShapeID="_x0000_i1127" DrawAspect="Content" ObjectID="_1468075827" r:id="rId218">
            <o:LockedField>false</o:LockedField>
          </o:OLEObject>
        </w:object>
      </w:r>
      <w:r>
        <w:rPr>
          <w:rFonts w:hint="eastAsia"/>
          <w:sz w:val="24"/>
        </w:rPr>
        <w:t>，</w:t>
      </w:r>
      <w:r>
        <w:rPr>
          <w:position w:val="-6"/>
          <w:sz w:val="24"/>
        </w:rPr>
        <w:object>
          <v:shape id="_x0000_i1128" o:spt="75" type="#_x0000_t75" style="height:13.75pt;width:28.15pt;" o:ole="t" filled="f" o:preferrelative="t" stroked="f" coordsize="21600,21600">
            <v:path/>
            <v:fill on="f" focussize="0,0"/>
            <v:stroke on="f" joinstyle="miter"/>
            <v:imagedata r:id="rId221" o:title=""/>
            <o:lock v:ext="edit" aspectratio="t"/>
            <w10:wrap type="none"/>
            <w10:anchorlock/>
          </v:shape>
          <o:OLEObject Type="Embed" ProgID="Equation.3" ShapeID="_x0000_i1128" DrawAspect="Content" ObjectID="_1468075828" r:id="rId220">
            <o:LockedField>false</o:LockedField>
          </o:OLEObject>
        </w:object>
      </w:r>
      <w:r>
        <w:rPr>
          <w:rFonts w:hint="eastAsia"/>
          <w:sz w:val="24"/>
        </w:rPr>
        <w:t>。乳腺</w:t>
      </w:r>
      <w:r>
        <w:rPr>
          <w:rFonts w:hint="eastAsia"/>
          <w:color w:val="000000"/>
          <w:sz w:val="24"/>
        </w:rPr>
        <w:t>诊断X射线剂量计校准因子的不确定度评定结果汇总见表D.1。</w:t>
      </w:r>
    </w:p>
    <w:p>
      <w:pPr>
        <w:spacing w:line="360" w:lineRule="auto"/>
        <w:jc w:val="left"/>
        <w:rPr>
          <w:color w:val="000000"/>
          <w:sz w:val="24"/>
        </w:rPr>
      </w:pPr>
    </w:p>
    <w:p>
      <w:pPr>
        <w:spacing w:line="360" w:lineRule="auto"/>
        <w:jc w:val="center"/>
        <w:rPr>
          <w:color w:val="000000"/>
          <w:sz w:val="24"/>
        </w:rPr>
      </w:pPr>
    </w:p>
    <w:p>
      <w:pPr>
        <w:spacing w:line="360" w:lineRule="auto"/>
        <w:jc w:val="center"/>
        <w:rPr>
          <w:color w:val="000000"/>
          <w:sz w:val="24"/>
        </w:rPr>
      </w:pPr>
      <w:r>
        <w:rPr>
          <w:rFonts w:hint="eastAsia"/>
          <w:color w:val="000000"/>
          <w:sz w:val="24"/>
        </w:rPr>
        <w:t>表D.1 不确定度评定汇总表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7"/>
        <w:gridCol w:w="1693"/>
        <w:gridCol w:w="1694"/>
        <w:gridCol w:w="1694"/>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440" w:type="dxa"/>
            <w:gridSpan w:val="2"/>
            <w:vAlign w:val="center"/>
          </w:tcPr>
          <w:p>
            <w:pPr>
              <w:spacing w:line="360" w:lineRule="auto"/>
              <w:jc w:val="center"/>
              <w:rPr>
                <w:sz w:val="24"/>
              </w:rPr>
            </w:pPr>
            <w:r>
              <w:rPr>
                <w:rFonts w:hint="eastAsia"/>
                <w:sz w:val="24"/>
              </w:rPr>
              <w:t>来源</w:t>
            </w:r>
          </w:p>
        </w:tc>
        <w:tc>
          <w:tcPr>
            <w:tcW w:w="1694" w:type="dxa"/>
            <w:vAlign w:val="center"/>
          </w:tcPr>
          <w:p>
            <w:pPr>
              <w:spacing w:line="360" w:lineRule="auto"/>
              <w:jc w:val="center"/>
              <w:rPr>
                <w:sz w:val="24"/>
              </w:rPr>
            </w:pPr>
            <w:r>
              <w:rPr>
                <w:rFonts w:hint="eastAsia"/>
                <w:sz w:val="24"/>
              </w:rPr>
              <w:t>类型</w:t>
            </w:r>
          </w:p>
        </w:tc>
        <w:tc>
          <w:tcPr>
            <w:tcW w:w="1694" w:type="dxa"/>
            <w:vAlign w:val="center"/>
          </w:tcPr>
          <w:p>
            <w:pPr>
              <w:spacing w:line="360" w:lineRule="auto"/>
              <w:jc w:val="center"/>
              <w:rPr>
                <w:sz w:val="24"/>
              </w:rPr>
            </w:pPr>
            <w:r>
              <w:rPr>
                <w:rFonts w:hint="eastAsia"/>
                <w:sz w:val="24"/>
              </w:rPr>
              <w:t>分布</w:t>
            </w:r>
          </w:p>
        </w:tc>
        <w:tc>
          <w:tcPr>
            <w:tcW w:w="1694" w:type="dxa"/>
            <w:vAlign w:val="center"/>
          </w:tcPr>
          <w:p>
            <w:pPr>
              <w:spacing w:line="360" w:lineRule="auto"/>
              <w:jc w:val="center"/>
              <w:rPr>
                <w:sz w:val="24"/>
              </w:rPr>
            </w:pPr>
            <w:r>
              <w:rPr>
                <w:rFonts w:hint="eastAsia"/>
                <w:sz w:val="24"/>
              </w:rPr>
              <w:t>标准不确定度</w:t>
            </w:r>
          </w:p>
          <w:p>
            <w:pPr>
              <w:spacing w:line="360" w:lineRule="auto"/>
              <w:jc w:val="center"/>
              <w:rPr>
                <w:sz w:val="24"/>
              </w:rPr>
            </w:pPr>
            <w:r>
              <w:rPr>
                <w:position w:val="-12"/>
                <w:sz w:val="24"/>
              </w:rPr>
              <w:object>
                <v:shape id="_x0000_i1129" o:spt="75" type="#_x0000_t75" style="height:18.8pt;width:18.8pt;" o:ole="t" filled="f" o:preferrelative="t" stroked="f" coordsize="21600,21600">
                  <v:path/>
                  <v:fill on="f" focussize="0,0"/>
                  <v:stroke on="f" joinstyle="miter"/>
                  <v:imagedata r:id="rId223" o:title=""/>
                  <o:lock v:ext="edit" aspectratio="t"/>
                  <w10:wrap type="none"/>
                  <w10:anchorlock/>
                </v:shape>
                <o:OLEObject Type="Embed" ProgID="Equation.3" ShapeID="_x0000_i1129" DrawAspect="Content" ObjectID="_1468075829" r:id="rId222">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restart"/>
            <w:vAlign w:val="center"/>
          </w:tcPr>
          <w:p>
            <w:pPr>
              <w:spacing w:line="360" w:lineRule="auto"/>
              <w:jc w:val="center"/>
              <w:rPr>
                <w:sz w:val="24"/>
              </w:rPr>
            </w:pPr>
            <w:r>
              <w:rPr>
                <w:rFonts w:hint="eastAsia"/>
                <w:sz w:val="24"/>
              </w:rPr>
              <w:t>空气比释动能标准值测量</w:t>
            </w:r>
          </w:p>
        </w:tc>
        <w:tc>
          <w:tcPr>
            <w:tcW w:w="1693" w:type="dxa"/>
            <w:vAlign w:val="center"/>
          </w:tcPr>
          <w:p>
            <w:pPr>
              <w:spacing w:line="360" w:lineRule="auto"/>
              <w:jc w:val="center"/>
              <w:rPr>
                <w:sz w:val="24"/>
              </w:rPr>
            </w:pPr>
            <w:r>
              <w:rPr>
                <w:rFonts w:hint="eastAsia"/>
                <w:sz w:val="24"/>
              </w:rPr>
              <w:t>读数</w:t>
            </w:r>
          </w:p>
        </w:tc>
        <w:tc>
          <w:tcPr>
            <w:tcW w:w="1694" w:type="dxa"/>
            <w:vAlign w:val="center"/>
          </w:tcPr>
          <w:p>
            <w:pPr>
              <w:spacing w:line="360" w:lineRule="auto"/>
              <w:jc w:val="center"/>
              <w:rPr>
                <w:sz w:val="24"/>
              </w:rPr>
            </w:pPr>
            <w:r>
              <w:rPr>
                <w:rFonts w:hint="eastAsia"/>
                <w:sz w:val="24"/>
              </w:rPr>
              <w:t>A</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校准因子</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温度</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气压</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年稳定性</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漏电</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能量响应</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其他</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restart"/>
            <w:vAlign w:val="center"/>
          </w:tcPr>
          <w:p>
            <w:pPr>
              <w:spacing w:line="360" w:lineRule="auto"/>
              <w:jc w:val="center"/>
              <w:rPr>
                <w:sz w:val="24"/>
              </w:rPr>
            </w:pPr>
            <w:r>
              <w:rPr>
                <w:rFonts w:hint="eastAsia"/>
                <w:sz w:val="24"/>
              </w:rPr>
              <w:t>被校剂量计</w:t>
            </w:r>
          </w:p>
        </w:tc>
        <w:tc>
          <w:tcPr>
            <w:tcW w:w="1693" w:type="dxa"/>
            <w:vAlign w:val="center"/>
          </w:tcPr>
          <w:p>
            <w:pPr>
              <w:jc w:val="center"/>
              <w:rPr>
                <w:rFonts w:ascii="宋体" w:hAnsi="宋体" w:cs="宋体"/>
                <w:color w:val="000000"/>
                <w:sz w:val="22"/>
                <w:szCs w:val="22"/>
              </w:rPr>
            </w:pPr>
            <w:r>
              <w:rPr>
                <w:rFonts w:hint="eastAsia"/>
                <w:color w:val="000000"/>
                <w:sz w:val="22"/>
                <w:szCs w:val="22"/>
              </w:rPr>
              <w:t>读数</w:t>
            </w:r>
          </w:p>
        </w:tc>
        <w:tc>
          <w:tcPr>
            <w:tcW w:w="1694" w:type="dxa"/>
            <w:vAlign w:val="center"/>
          </w:tcPr>
          <w:p>
            <w:pPr>
              <w:spacing w:line="360" w:lineRule="auto"/>
              <w:jc w:val="center"/>
              <w:rPr>
                <w:sz w:val="24"/>
              </w:rPr>
            </w:pPr>
            <w:r>
              <w:rPr>
                <w:rFonts w:hint="eastAsia"/>
                <w:sz w:val="24"/>
              </w:rPr>
              <w:t>A</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温度</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气压</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正态</w:t>
            </w:r>
          </w:p>
        </w:tc>
        <w:tc>
          <w:tcPr>
            <w:tcW w:w="1694" w:type="dxa"/>
            <w:vAlign w:val="center"/>
          </w:tcPr>
          <w:p>
            <w:pPr>
              <w:jc w:val="center"/>
              <w:rPr>
                <w:rFonts w:ascii="宋体" w:hAnsi="宋体" w:cs="宋体"/>
                <w:color w:val="000000"/>
                <w:sz w:val="22"/>
                <w:szCs w:val="22"/>
              </w:rPr>
            </w:pPr>
            <w:r>
              <w:rPr>
                <w:rFonts w:hint="eastAsia"/>
                <w:color w:val="000000"/>
                <w:sz w:val="22"/>
                <w:szCs w:val="22"/>
              </w:rPr>
              <w:t>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定位</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漏电</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7" w:type="dxa"/>
            <w:vMerge w:val="continue"/>
            <w:vAlign w:val="center"/>
          </w:tcPr>
          <w:p>
            <w:pPr>
              <w:spacing w:line="360" w:lineRule="auto"/>
              <w:jc w:val="center"/>
              <w:rPr>
                <w:sz w:val="24"/>
              </w:rPr>
            </w:pPr>
          </w:p>
        </w:tc>
        <w:tc>
          <w:tcPr>
            <w:tcW w:w="1693" w:type="dxa"/>
            <w:vAlign w:val="center"/>
          </w:tcPr>
          <w:p>
            <w:pPr>
              <w:spacing w:line="360" w:lineRule="auto"/>
              <w:jc w:val="center"/>
              <w:rPr>
                <w:sz w:val="24"/>
              </w:rPr>
            </w:pPr>
            <w:r>
              <w:rPr>
                <w:rFonts w:hint="eastAsia"/>
                <w:sz w:val="24"/>
              </w:rPr>
              <w:t>时间</w:t>
            </w:r>
          </w:p>
        </w:tc>
        <w:tc>
          <w:tcPr>
            <w:tcW w:w="1694" w:type="dxa"/>
            <w:vAlign w:val="center"/>
          </w:tcPr>
          <w:p>
            <w:pPr>
              <w:spacing w:line="360" w:lineRule="auto"/>
              <w:jc w:val="center"/>
              <w:rPr>
                <w:sz w:val="24"/>
              </w:rPr>
            </w:pPr>
            <w:r>
              <w:rPr>
                <w:rFonts w:hint="eastAsia"/>
                <w:sz w:val="24"/>
              </w:rPr>
              <w:t>B</w:t>
            </w:r>
          </w:p>
        </w:tc>
        <w:tc>
          <w:tcPr>
            <w:tcW w:w="1694" w:type="dxa"/>
            <w:vAlign w:val="center"/>
          </w:tcPr>
          <w:p>
            <w:pPr>
              <w:jc w:val="center"/>
              <w:rPr>
                <w:rFonts w:ascii="宋体" w:hAnsi="宋体" w:cs="宋体"/>
                <w:color w:val="000000"/>
                <w:sz w:val="22"/>
                <w:szCs w:val="22"/>
              </w:rPr>
            </w:pPr>
            <w:r>
              <w:rPr>
                <w:rFonts w:hint="eastAsia"/>
                <w:color w:val="000000"/>
                <w:sz w:val="22"/>
                <w:szCs w:val="22"/>
              </w:rPr>
              <w:t>矩形</w:t>
            </w:r>
          </w:p>
        </w:tc>
        <w:tc>
          <w:tcPr>
            <w:tcW w:w="1694" w:type="dxa"/>
            <w:vAlign w:val="center"/>
          </w:tcPr>
          <w:p>
            <w:pPr>
              <w:jc w:val="center"/>
              <w:rPr>
                <w:rFonts w:ascii="宋体" w:hAnsi="宋体" w:cs="宋体"/>
                <w:color w:val="000000"/>
                <w:sz w:val="22"/>
                <w:szCs w:val="22"/>
              </w:rPr>
            </w:pPr>
            <w:r>
              <w:rPr>
                <w:rFonts w:hint="eastAsia"/>
                <w:color w:val="000000"/>
                <w:sz w:val="22"/>
                <w:szCs w:val="22"/>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8" w:type="dxa"/>
            <w:gridSpan w:val="4"/>
            <w:vAlign w:val="center"/>
          </w:tcPr>
          <w:p>
            <w:pPr>
              <w:spacing w:line="360" w:lineRule="auto"/>
              <w:jc w:val="center"/>
              <w:rPr>
                <w:sz w:val="24"/>
              </w:rPr>
            </w:pPr>
            <w:r>
              <w:rPr>
                <w:rFonts w:hint="eastAsia"/>
                <w:sz w:val="24"/>
              </w:rPr>
              <w:t xml:space="preserve">合成标准不确定度 </w:t>
            </w:r>
            <w:r>
              <w:rPr>
                <w:position w:val="-12"/>
              </w:rPr>
              <w:object>
                <v:shape id="_x0000_i1130" o:spt="75" type="#_x0000_t75" style="height:18.8pt;width:20.65pt;" o:ole="t" filled="f" o:preferrelative="t" stroked="f" coordsize="21600,21600">
                  <v:path/>
                  <v:fill on="f" focussize="0,0"/>
                  <v:stroke on="f" joinstyle="miter"/>
                  <v:imagedata r:id="rId213" o:title=""/>
                  <o:lock v:ext="edit" aspectratio="t"/>
                  <w10:wrap type="none"/>
                  <w10:anchorlock/>
                </v:shape>
                <o:OLEObject Type="Embed" ProgID="Equation.3" ShapeID="_x0000_i1130" DrawAspect="Content" ObjectID="_1468075830" r:id="rId224">
                  <o:LockedField>false</o:LockedField>
                </o:OLEObject>
              </w:object>
            </w:r>
          </w:p>
        </w:tc>
        <w:tc>
          <w:tcPr>
            <w:tcW w:w="1694" w:type="dxa"/>
            <w:vAlign w:val="center"/>
          </w:tcPr>
          <w:p>
            <w:pPr>
              <w:jc w:val="center"/>
              <w:rPr>
                <w:rFonts w:ascii="宋体" w:hAnsi="宋体" w:cs="宋体"/>
                <w:color w:val="000000"/>
                <w:sz w:val="22"/>
                <w:szCs w:val="22"/>
              </w:rPr>
            </w:pPr>
            <w:r>
              <w:rPr>
                <w:rFonts w:hint="eastAsia"/>
                <w:color w:val="000000"/>
                <w:sz w:val="22"/>
                <w:szCs w:val="22"/>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8" w:type="dxa"/>
            <w:gridSpan w:val="4"/>
            <w:vAlign w:val="center"/>
          </w:tcPr>
          <w:p>
            <w:pPr>
              <w:spacing w:line="360" w:lineRule="auto"/>
              <w:jc w:val="center"/>
              <w:rPr>
                <w:sz w:val="24"/>
              </w:rPr>
            </w:pPr>
            <w:r>
              <w:rPr>
                <w:rFonts w:hint="eastAsia"/>
                <w:sz w:val="24"/>
              </w:rPr>
              <w:t xml:space="preserve">扩展不确定度 </w:t>
            </w:r>
            <w:r>
              <w:rPr>
                <w:position w:val="-12"/>
              </w:rPr>
              <w:object>
                <v:shape id="_x0000_i1131" o:spt="75" type="#_x0000_t75" style="height:18.8pt;width:53.2pt;" o:ole="t" filled="f" o:preferrelative="t" stroked="f" coordsize="21600,21600">
                  <v:path/>
                  <v:fill on="f" focussize="0,0"/>
                  <v:stroke on="f" joinstyle="miter"/>
                  <v:imagedata r:id="rId226" o:title=""/>
                  <o:lock v:ext="edit" aspectratio="t"/>
                  <w10:wrap type="none"/>
                  <w10:anchorlock/>
                </v:shape>
                <o:OLEObject Type="Embed" ProgID="Equation.3" ShapeID="_x0000_i1131" DrawAspect="Content" ObjectID="_1468075831" r:id="rId225">
                  <o:LockedField>false</o:LockedField>
                </o:OLEObject>
              </w:object>
            </w:r>
          </w:p>
        </w:tc>
        <w:tc>
          <w:tcPr>
            <w:tcW w:w="1694" w:type="dxa"/>
            <w:vAlign w:val="center"/>
          </w:tcPr>
          <w:p>
            <w:pPr>
              <w:jc w:val="center"/>
              <w:rPr>
                <w:rFonts w:ascii="宋体" w:hAnsi="宋体" w:cs="宋体"/>
                <w:color w:val="000000"/>
                <w:sz w:val="22"/>
                <w:szCs w:val="22"/>
              </w:rPr>
            </w:pPr>
            <w:r>
              <w:rPr>
                <w:rFonts w:hint="eastAsia"/>
                <w:color w:val="000000"/>
                <w:sz w:val="22"/>
                <w:szCs w:val="22"/>
              </w:rPr>
              <w:t>3.4</w:t>
            </w:r>
          </w:p>
        </w:tc>
      </w:tr>
    </w:tbl>
    <w:p>
      <w:pPr>
        <w:spacing w:line="360" w:lineRule="auto"/>
        <w:jc w:val="left"/>
        <w:rPr>
          <w:sz w:val="24"/>
        </w:rPr>
      </w:pPr>
    </w:p>
    <w:p>
      <w:pPr>
        <w:rPr>
          <w:lang w:val="zh-CN"/>
        </w:rPr>
      </w:pPr>
    </w:p>
    <w:sectPr>
      <w:pgSz w:w="11906" w:h="16838"/>
      <w:pgMar w:top="1134" w:right="1474" w:bottom="113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Arial Unicode MS"/>
    <w:panose1 w:val="00000000000000000000"/>
    <w:charset w:val="86"/>
    <w:family w:val="script"/>
    <w:pitch w:val="default"/>
    <w:sig w:usb0="00000000" w:usb1="00000000" w:usb2="0000000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Wingdings 2">
    <w:panose1 w:val="050201020105070707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29"/>
      </w:rPr>
    </w:pPr>
    <w:r>
      <w:fldChar w:fldCharType="begin"/>
    </w:r>
    <w:r>
      <w:rPr>
        <w:rStyle w:val="29"/>
      </w:rPr>
      <w:instrText xml:space="preserve">PAGE  </w:instrText>
    </w:r>
    <w:r>
      <w:fldChar w:fldCharType="separate"/>
    </w:r>
    <w:r>
      <w:rPr>
        <w:rStyle w:val="29"/>
      </w:rPr>
      <w:t>I</w:t>
    </w:r>
    <w:r>
      <w:fldChar w:fldCharType="end"/>
    </w:r>
  </w:p>
  <w:p>
    <w:pPr>
      <w:pStyle w:val="2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29"/>
      </w:rPr>
    </w:pPr>
    <w:r>
      <w:fldChar w:fldCharType="begin"/>
    </w:r>
    <w:r>
      <w:rPr>
        <w:rStyle w:val="29"/>
      </w:rPr>
      <w:instrText xml:space="preserve">PAGE  </w:instrText>
    </w:r>
    <w:r>
      <w:fldChar w:fldCharType="separate"/>
    </w:r>
    <w:r>
      <w:rPr>
        <w:rStyle w:val="29"/>
      </w:rPr>
      <w:t>6</w:t>
    </w:r>
    <w:r>
      <w:fldChar w:fldCharType="end"/>
    </w:r>
  </w:p>
  <w:p>
    <w:pPr>
      <w:pStyle w:val="2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29"/>
      </w:rPr>
    </w:pPr>
    <w:r>
      <w:fldChar w:fldCharType="begin"/>
    </w:r>
    <w:r>
      <w:rPr>
        <w:rStyle w:val="29"/>
      </w:rPr>
      <w:instrText xml:space="preserve">PAGE  </w:instrText>
    </w:r>
    <w:r>
      <w:fldChar w:fldCharType="separate"/>
    </w:r>
    <w:r>
      <w:rPr>
        <w:rStyle w:val="29"/>
      </w:rPr>
      <w:t>21</w:t>
    </w:r>
    <w:r>
      <w:fldChar w:fldCharType="end"/>
    </w:r>
  </w:p>
  <w:p>
    <w:pPr>
      <w:pStyle w:val="20"/>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rPr>
        <w:rFonts w:ascii="黑体" w:hAnsi="黑体" w:eastAsia="黑体"/>
        <w:b/>
        <w:bCs/>
        <w:sz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ascii="黑体" w:hAnsi="黑体" w:eastAsia="黑体"/>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ascii="黑体" w:hAnsi="黑体" w:eastAsia="黑体"/>
        <w:b/>
        <w:bCs/>
        <w:sz w:val="21"/>
      </w:rPr>
    </w:pPr>
    <w:r>
      <w:rPr>
        <w:rFonts w:hint="eastAsia" w:ascii="黑体" w:hAnsi="黑体" w:eastAsia="黑体"/>
        <w:b/>
        <w:bCs/>
        <w:sz w:val="21"/>
      </w:rPr>
      <w:t>JJF 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ascii="黑体" w:hAnsi="黑体" w:eastAsia="黑体"/>
        <w:b/>
        <w:bCs/>
      </w:rPr>
    </w:pPr>
    <w:r>
      <w:rPr>
        <w:rFonts w:hint="eastAsia" w:ascii="黑体" w:hAnsi="黑体" w:eastAsia="黑体"/>
        <w:b/>
        <w:bCs/>
      </w:rPr>
      <w:t>JJF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ascii="黑体" w:hAnsi="黑体" w:eastAsia="黑体"/>
        <w:b/>
        <w:bCs/>
        <w:sz w:val="21"/>
      </w:rPr>
    </w:pPr>
    <w:r>
      <w:rPr>
        <w:rFonts w:hint="eastAsia" w:ascii="黑体" w:hAnsi="黑体" w:eastAsia="黑体"/>
        <w:b/>
        <w:bCs/>
        <w:sz w:val="21"/>
      </w:rPr>
      <w:t>JJF XXX-XXXX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Fonts w:ascii="黑体" w:hAnsi="黑体" w:eastAsia="黑体"/>
        <w:b/>
        <w:bCs/>
        <w:sz w:val="21"/>
      </w:rPr>
    </w:pPr>
    <w:r>
      <w:rPr>
        <w:rFonts w:hint="eastAsia" w:ascii="黑体" w:hAnsi="黑体" w:eastAsia="黑体"/>
        <w:b/>
        <w:bCs/>
        <w:sz w:val="21"/>
      </w:rPr>
      <w:t>JJF XXXX-XXXX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spacing w:after="240" w:afterLines="100"/>
      <w:rPr>
        <w:rFonts w:ascii="黑体" w:hAnsi="黑体" w:eastAsia="黑体"/>
        <w:b/>
        <w:bCs/>
        <w:sz w:val="21"/>
      </w:rPr>
    </w:pPr>
    <w:r>
      <w:rPr>
        <w:rFonts w:hint="eastAsia" w:ascii="黑体" w:hAnsi="黑体" w:eastAsia="黑体"/>
        <w:b/>
        <w:bCs/>
        <w:sz w:val="21"/>
      </w:rPr>
      <w:t>JJF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A0528"/>
    <w:multiLevelType w:val="multilevel"/>
    <w:tmpl w:val="12CA0528"/>
    <w:lvl w:ilvl="0" w:tentative="0">
      <w:start w:val="1"/>
      <w:numFmt w:val="decimal"/>
      <w:lvlText w:val="%1."/>
      <w:lvlJc w:val="left"/>
      <w:pPr>
        <w:ind w:left="675" w:hanging="360"/>
      </w:pPr>
      <w:rPr>
        <w:rFonts w:hint="default"/>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YWUyYzFmMDNkZDQ3MjQ0ZWZlNjQzMzAyMDIxM2QifQ=="/>
  </w:docVars>
  <w:rsids>
    <w:rsidRoot w:val="00172A27"/>
    <w:rsid w:val="000139C2"/>
    <w:rsid w:val="00014FEA"/>
    <w:rsid w:val="00016C40"/>
    <w:rsid w:val="00022B17"/>
    <w:rsid w:val="00027D1B"/>
    <w:rsid w:val="00031112"/>
    <w:rsid w:val="00034151"/>
    <w:rsid w:val="00034965"/>
    <w:rsid w:val="00035738"/>
    <w:rsid w:val="00037DFE"/>
    <w:rsid w:val="0004404A"/>
    <w:rsid w:val="00044E0E"/>
    <w:rsid w:val="000464B0"/>
    <w:rsid w:val="00052C36"/>
    <w:rsid w:val="00054D2F"/>
    <w:rsid w:val="0005521C"/>
    <w:rsid w:val="00055C8E"/>
    <w:rsid w:val="00057199"/>
    <w:rsid w:val="000617F0"/>
    <w:rsid w:val="00061A9B"/>
    <w:rsid w:val="00061D72"/>
    <w:rsid w:val="0006408A"/>
    <w:rsid w:val="000717F7"/>
    <w:rsid w:val="00073294"/>
    <w:rsid w:val="00077311"/>
    <w:rsid w:val="00081385"/>
    <w:rsid w:val="000819DE"/>
    <w:rsid w:val="00090160"/>
    <w:rsid w:val="00091CEE"/>
    <w:rsid w:val="00091D5F"/>
    <w:rsid w:val="00091EF3"/>
    <w:rsid w:val="00095074"/>
    <w:rsid w:val="000A3B4A"/>
    <w:rsid w:val="000A55F1"/>
    <w:rsid w:val="000B4847"/>
    <w:rsid w:val="000B4F04"/>
    <w:rsid w:val="000B57C3"/>
    <w:rsid w:val="000B607B"/>
    <w:rsid w:val="000B6EEF"/>
    <w:rsid w:val="000B779F"/>
    <w:rsid w:val="000B7FDB"/>
    <w:rsid w:val="000C436E"/>
    <w:rsid w:val="000C5803"/>
    <w:rsid w:val="000D73A9"/>
    <w:rsid w:val="000E0AEA"/>
    <w:rsid w:val="000E1196"/>
    <w:rsid w:val="000E1A58"/>
    <w:rsid w:val="000E1ECB"/>
    <w:rsid w:val="000F12C5"/>
    <w:rsid w:val="000F17DA"/>
    <w:rsid w:val="000F1D18"/>
    <w:rsid w:val="000F5046"/>
    <w:rsid w:val="000F5653"/>
    <w:rsid w:val="001014FA"/>
    <w:rsid w:val="00103EA6"/>
    <w:rsid w:val="001106F9"/>
    <w:rsid w:val="00110CE5"/>
    <w:rsid w:val="00114D46"/>
    <w:rsid w:val="001217AC"/>
    <w:rsid w:val="00123BC0"/>
    <w:rsid w:val="001246DA"/>
    <w:rsid w:val="00124779"/>
    <w:rsid w:val="0013391A"/>
    <w:rsid w:val="001342AF"/>
    <w:rsid w:val="00135611"/>
    <w:rsid w:val="00137C93"/>
    <w:rsid w:val="001429F6"/>
    <w:rsid w:val="0014335C"/>
    <w:rsid w:val="00160738"/>
    <w:rsid w:val="00170714"/>
    <w:rsid w:val="00171F29"/>
    <w:rsid w:val="0017202C"/>
    <w:rsid w:val="0017292D"/>
    <w:rsid w:val="00172A27"/>
    <w:rsid w:val="0018391F"/>
    <w:rsid w:val="001851CD"/>
    <w:rsid w:val="00191997"/>
    <w:rsid w:val="001928A2"/>
    <w:rsid w:val="001A0F3E"/>
    <w:rsid w:val="001A18B4"/>
    <w:rsid w:val="001A3B8E"/>
    <w:rsid w:val="001A4504"/>
    <w:rsid w:val="001A47E1"/>
    <w:rsid w:val="001B22FD"/>
    <w:rsid w:val="001B2B8F"/>
    <w:rsid w:val="001C14D0"/>
    <w:rsid w:val="001C499A"/>
    <w:rsid w:val="001D164C"/>
    <w:rsid w:val="001D16EF"/>
    <w:rsid w:val="001D2748"/>
    <w:rsid w:val="001D51AD"/>
    <w:rsid w:val="001E3840"/>
    <w:rsid w:val="001E477E"/>
    <w:rsid w:val="001E6EC5"/>
    <w:rsid w:val="001E7D06"/>
    <w:rsid w:val="001F1FE3"/>
    <w:rsid w:val="001F3AB9"/>
    <w:rsid w:val="001F3D96"/>
    <w:rsid w:val="001F4C01"/>
    <w:rsid w:val="0020117F"/>
    <w:rsid w:val="00206A31"/>
    <w:rsid w:val="00207FD1"/>
    <w:rsid w:val="002104FB"/>
    <w:rsid w:val="002149A6"/>
    <w:rsid w:val="00216922"/>
    <w:rsid w:val="002176DF"/>
    <w:rsid w:val="002213BD"/>
    <w:rsid w:val="0022294B"/>
    <w:rsid w:val="002241D7"/>
    <w:rsid w:val="00225019"/>
    <w:rsid w:val="00225C82"/>
    <w:rsid w:val="002338BA"/>
    <w:rsid w:val="0025618B"/>
    <w:rsid w:val="00256362"/>
    <w:rsid w:val="00263AD9"/>
    <w:rsid w:val="00265868"/>
    <w:rsid w:val="00272EDC"/>
    <w:rsid w:val="0027339D"/>
    <w:rsid w:val="00276970"/>
    <w:rsid w:val="00280EFA"/>
    <w:rsid w:val="0028538F"/>
    <w:rsid w:val="0028748E"/>
    <w:rsid w:val="00287A5C"/>
    <w:rsid w:val="002927D5"/>
    <w:rsid w:val="0029323A"/>
    <w:rsid w:val="00295BDD"/>
    <w:rsid w:val="00297A83"/>
    <w:rsid w:val="00297E01"/>
    <w:rsid w:val="002A0313"/>
    <w:rsid w:val="002A203B"/>
    <w:rsid w:val="002A2DCD"/>
    <w:rsid w:val="002A7E3D"/>
    <w:rsid w:val="002B111B"/>
    <w:rsid w:val="002B4AFD"/>
    <w:rsid w:val="002B74EF"/>
    <w:rsid w:val="002B7FBD"/>
    <w:rsid w:val="002C6F99"/>
    <w:rsid w:val="002C7F94"/>
    <w:rsid w:val="002D5E8C"/>
    <w:rsid w:val="002D7B96"/>
    <w:rsid w:val="002E233C"/>
    <w:rsid w:val="002E25F2"/>
    <w:rsid w:val="002E6919"/>
    <w:rsid w:val="002E6AF2"/>
    <w:rsid w:val="002F14DF"/>
    <w:rsid w:val="002F3F96"/>
    <w:rsid w:val="002F5331"/>
    <w:rsid w:val="002F6A0B"/>
    <w:rsid w:val="0030278A"/>
    <w:rsid w:val="00305317"/>
    <w:rsid w:val="00305FF8"/>
    <w:rsid w:val="00312640"/>
    <w:rsid w:val="00322199"/>
    <w:rsid w:val="00323F93"/>
    <w:rsid w:val="00324C97"/>
    <w:rsid w:val="0032621D"/>
    <w:rsid w:val="0032645B"/>
    <w:rsid w:val="00326A6D"/>
    <w:rsid w:val="0033315E"/>
    <w:rsid w:val="00334481"/>
    <w:rsid w:val="003430E1"/>
    <w:rsid w:val="00347599"/>
    <w:rsid w:val="00352E3E"/>
    <w:rsid w:val="00353352"/>
    <w:rsid w:val="00354514"/>
    <w:rsid w:val="003576C9"/>
    <w:rsid w:val="00357A2C"/>
    <w:rsid w:val="00365F70"/>
    <w:rsid w:val="003739D9"/>
    <w:rsid w:val="00374DD9"/>
    <w:rsid w:val="0037701B"/>
    <w:rsid w:val="00380DF4"/>
    <w:rsid w:val="0038368F"/>
    <w:rsid w:val="00383D06"/>
    <w:rsid w:val="00387DBF"/>
    <w:rsid w:val="00393D56"/>
    <w:rsid w:val="003A0639"/>
    <w:rsid w:val="003B31B1"/>
    <w:rsid w:val="003B584E"/>
    <w:rsid w:val="003C4635"/>
    <w:rsid w:val="003D06ED"/>
    <w:rsid w:val="003D3B6D"/>
    <w:rsid w:val="003D473F"/>
    <w:rsid w:val="003D6D86"/>
    <w:rsid w:val="003E08E3"/>
    <w:rsid w:val="003E26F9"/>
    <w:rsid w:val="003E3EC8"/>
    <w:rsid w:val="003E69AE"/>
    <w:rsid w:val="003E7036"/>
    <w:rsid w:val="003F4A79"/>
    <w:rsid w:val="003F6485"/>
    <w:rsid w:val="003F740D"/>
    <w:rsid w:val="00407C3C"/>
    <w:rsid w:val="00410260"/>
    <w:rsid w:val="0041086C"/>
    <w:rsid w:val="00410AE4"/>
    <w:rsid w:val="004131DD"/>
    <w:rsid w:val="00422352"/>
    <w:rsid w:val="004223FD"/>
    <w:rsid w:val="00431AA2"/>
    <w:rsid w:val="00440F79"/>
    <w:rsid w:val="004431F7"/>
    <w:rsid w:val="00443CB1"/>
    <w:rsid w:val="0044757F"/>
    <w:rsid w:val="004476D6"/>
    <w:rsid w:val="00450771"/>
    <w:rsid w:val="00452227"/>
    <w:rsid w:val="00453C66"/>
    <w:rsid w:val="0046009F"/>
    <w:rsid w:val="00465CBE"/>
    <w:rsid w:val="0047171C"/>
    <w:rsid w:val="004745EF"/>
    <w:rsid w:val="00477918"/>
    <w:rsid w:val="00482B7B"/>
    <w:rsid w:val="00484341"/>
    <w:rsid w:val="00484698"/>
    <w:rsid w:val="00485795"/>
    <w:rsid w:val="00486D30"/>
    <w:rsid w:val="004874E0"/>
    <w:rsid w:val="00491B0B"/>
    <w:rsid w:val="00495037"/>
    <w:rsid w:val="004965D8"/>
    <w:rsid w:val="004A230D"/>
    <w:rsid w:val="004B0179"/>
    <w:rsid w:val="004B2A20"/>
    <w:rsid w:val="004B5C56"/>
    <w:rsid w:val="004B6562"/>
    <w:rsid w:val="004C267B"/>
    <w:rsid w:val="004C2B45"/>
    <w:rsid w:val="004C3AB5"/>
    <w:rsid w:val="004C5147"/>
    <w:rsid w:val="004C77AA"/>
    <w:rsid w:val="004C7AA3"/>
    <w:rsid w:val="004E0E34"/>
    <w:rsid w:val="004E6097"/>
    <w:rsid w:val="004F200C"/>
    <w:rsid w:val="004F2D86"/>
    <w:rsid w:val="004F3CE1"/>
    <w:rsid w:val="004F468D"/>
    <w:rsid w:val="005056D9"/>
    <w:rsid w:val="005140B9"/>
    <w:rsid w:val="00514943"/>
    <w:rsid w:val="00515D20"/>
    <w:rsid w:val="0051611D"/>
    <w:rsid w:val="005200B6"/>
    <w:rsid w:val="00522A1E"/>
    <w:rsid w:val="00523A74"/>
    <w:rsid w:val="00525BB1"/>
    <w:rsid w:val="00530162"/>
    <w:rsid w:val="00530D4F"/>
    <w:rsid w:val="00531351"/>
    <w:rsid w:val="00534683"/>
    <w:rsid w:val="00534AA2"/>
    <w:rsid w:val="005409BC"/>
    <w:rsid w:val="00541B1A"/>
    <w:rsid w:val="005420B6"/>
    <w:rsid w:val="00545A8B"/>
    <w:rsid w:val="00547122"/>
    <w:rsid w:val="00550181"/>
    <w:rsid w:val="00553077"/>
    <w:rsid w:val="005544E1"/>
    <w:rsid w:val="00556FC9"/>
    <w:rsid w:val="00557A53"/>
    <w:rsid w:val="00557B60"/>
    <w:rsid w:val="00561BB9"/>
    <w:rsid w:val="005675DB"/>
    <w:rsid w:val="00567636"/>
    <w:rsid w:val="005712CF"/>
    <w:rsid w:val="00572295"/>
    <w:rsid w:val="0058229E"/>
    <w:rsid w:val="00584888"/>
    <w:rsid w:val="00591A13"/>
    <w:rsid w:val="00592D53"/>
    <w:rsid w:val="0059320F"/>
    <w:rsid w:val="00594640"/>
    <w:rsid w:val="00594BC4"/>
    <w:rsid w:val="005A18BE"/>
    <w:rsid w:val="005A5E2B"/>
    <w:rsid w:val="005A765D"/>
    <w:rsid w:val="005B2EBA"/>
    <w:rsid w:val="005D2788"/>
    <w:rsid w:val="005D495B"/>
    <w:rsid w:val="005D5E56"/>
    <w:rsid w:val="005D6850"/>
    <w:rsid w:val="005E1B08"/>
    <w:rsid w:val="005E2630"/>
    <w:rsid w:val="005E506B"/>
    <w:rsid w:val="005F4098"/>
    <w:rsid w:val="00601107"/>
    <w:rsid w:val="006056C6"/>
    <w:rsid w:val="006069F2"/>
    <w:rsid w:val="006076ED"/>
    <w:rsid w:val="00611824"/>
    <w:rsid w:val="00611AE1"/>
    <w:rsid w:val="00616737"/>
    <w:rsid w:val="00617B3A"/>
    <w:rsid w:val="00621F93"/>
    <w:rsid w:val="006236AF"/>
    <w:rsid w:val="0063543D"/>
    <w:rsid w:val="00636BCA"/>
    <w:rsid w:val="006443E0"/>
    <w:rsid w:val="00644A21"/>
    <w:rsid w:val="00644C16"/>
    <w:rsid w:val="00652D53"/>
    <w:rsid w:val="0065354D"/>
    <w:rsid w:val="00662F5A"/>
    <w:rsid w:val="00663432"/>
    <w:rsid w:val="006652B3"/>
    <w:rsid w:val="00665A0A"/>
    <w:rsid w:val="00667C2C"/>
    <w:rsid w:val="00667EE6"/>
    <w:rsid w:val="00671E06"/>
    <w:rsid w:val="00676903"/>
    <w:rsid w:val="00680D36"/>
    <w:rsid w:val="00682D8A"/>
    <w:rsid w:val="006854C9"/>
    <w:rsid w:val="006872BE"/>
    <w:rsid w:val="006874BF"/>
    <w:rsid w:val="00696EB5"/>
    <w:rsid w:val="006A428B"/>
    <w:rsid w:val="006A47DC"/>
    <w:rsid w:val="006A5DEE"/>
    <w:rsid w:val="006B5ECA"/>
    <w:rsid w:val="006C0549"/>
    <w:rsid w:val="006C377F"/>
    <w:rsid w:val="006C445A"/>
    <w:rsid w:val="006C7757"/>
    <w:rsid w:val="006D41A8"/>
    <w:rsid w:val="006D4E41"/>
    <w:rsid w:val="006E1D40"/>
    <w:rsid w:val="006E1FAB"/>
    <w:rsid w:val="006E36D9"/>
    <w:rsid w:val="006E5693"/>
    <w:rsid w:val="006E5962"/>
    <w:rsid w:val="006F01CA"/>
    <w:rsid w:val="006F5809"/>
    <w:rsid w:val="006F78F1"/>
    <w:rsid w:val="007011FF"/>
    <w:rsid w:val="00703767"/>
    <w:rsid w:val="00703EAF"/>
    <w:rsid w:val="0071080F"/>
    <w:rsid w:val="0071111B"/>
    <w:rsid w:val="0071151C"/>
    <w:rsid w:val="007125E3"/>
    <w:rsid w:val="00716C75"/>
    <w:rsid w:val="00717161"/>
    <w:rsid w:val="0071755A"/>
    <w:rsid w:val="00722B30"/>
    <w:rsid w:val="00726856"/>
    <w:rsid w:val="00726EFA"/>
    <w:rsid w:val="00731BED"/>
    <w:rsid w:val="00731DBF"/>
    <w:rsid w:val="00735BB2"/>
    <w:rsid w:val="00736327"/>
    <w:rsid w:val="00742FEB"/>
    <w:rsid w:val="00744A7B"/>
    <w:rsid w:val="00751A6A"/>
    <w:rsid w:val="007565C2"/>
    <w:rsid w:val="007627DC"/>
    <w:rsid w:val="00763502"/>
    <w:rsid w:val="00782468"/>
    <w:rsid w:val="00786221"/>
    <w:rsid w:val="007870E5"/>
    <w:rsid w:val="007878B9"/>
    <w:rsid w:val="00791034"/>
    <w:rsid w:val="00792D93"/>
    <w:rsid w:val="00794B46"/>
    <w:rsid w:val="007A09A3"/>
    <w:rsid w:val="007A4EB4"/>
    <w:rsid w:val="007A756E"/>
    <w:rsid w:val="007B22A8"/>
    <w:rsid w:val="007B2738"/>
    <w:rsid w:val="007B28F4"/>
    <w:rsid w:val="007B6B91"/>
    <w:rsid w:val="007C0DAA"/>
    <w:rsid w:val="007C16DB"/>
    <w:rsid w:val="007D30CE"/>
    <w:rsid w:val="007D443E"/>
    <w:rsid w:val="007E4263"/>
    <w:rsid w:val="007E5C28"/>
    <w:rsid w:val="007F0C4D"/>
    <w:rsid w:val="00801B72"/>
    <w:rsid w:val="008120D1"/>
    <w:rsid w:val="00814FEC"/>
    <w:rsid w:val="00815F8E"/>
    <w:rsid w:val="00815FBF"/>
    <w:rsid w:val="00820177"/>
    <w:rsid w:val="008213C9"/>
    <w:rsid w:val="00821FF7"/>
    <w:rsid w:val="00825B51"/>
    <w:rsid w:val="008267B9"/>
    <w:rsid w:val="0083202C"/>
    <w:rsid w:val="00832919"/>
    <w:rsid w:val="00836DAE"/>
    <w:rsid w:val="00844ED0"/>
    <w:rsid w:val="00852BBE"/>
    <w:rsid w:val="00852F04"/>
    <w:rsid w:val="0085314F"/>
    <w:rsid w:val="00853A2D"/>
    <w:rsid w:val="00854B31"/>
    <w:rsid w:val="00862D97"/>
    <w:rsid w:val="0087184C"/>
    <w:rsid w:val="00873C8E"/>
    <w:rsid w:val="00874E6F"/>
    <w:rsid w:val="00877733"/>
    <w:rsid w:val="008801DD"/>
    <w:rsid w:val="00886C05"/>
    <w:rsid w:val="008922B7"/>
    <w:rsid w:val="008924B9"/>
    <w:rsid w:val="00892B0E"/>
    <w:rsid w:val="0089361E"/>
    <w:rsid w:val="0089409D"/>
    <w:rsid w:val="00896821"/>
    <w:rsid w:val="00896DB5"/>
    <w:rsid w:val="00896DFE"/>
    <w:rsid w:val="008A2176"/>
    <w:rsid w:val="008A3585"/>
    <w:rsid w:val="008A6BAB"/>
    <w:rsid w:val="008B340F"/>
    <w:rsid w:val="008B4A89"/>
    <w:rsid w:val="008B640D"/>
    <w:rsid w:val="008C2359"/>
    <w:rsid w:val="008C5244"/>
    <w:rsid w:val="008D4F5E"/>
    <w:rsid w:val="008D79E2"/>
    <w:rsid w:val="008E0359"/>
    <w:rsid w:val="008E6ACC"/>
    <w:rsid w:val="008E7409"/>
    <w:rsid w:val="008F1F89"/>
    <w:rsid w:val="008F4316"/>
    <w:rsid w:val="008F59FB"/>
    <w:rsid w:val="00900FD1"/>
    <w:rsid w:val="009046A0"/>
    <w:rsid w:val="009059AC"/>
    <w:rsid w:val="00905B92"/>
    <w:rsid w:val="00914276"/>
    <w:rsid w:val="00916BBB"/>
    <w:rsid w:val="00917D8C"/>
    <w:rsid w:val="009246C6"/>
    <w:rsid w:val="00925B95"/>
    <w:rsid w:val="009302A6"/>
    <w:rsid w:val="0093290E"/>
    <w:rsid w:val="009363BE"/>
    <w:rsid w:val="0094411B"/>
    <w:rsid w:val="0095154E"/>
    <w:rsid w:val="00952925"/>
    <w:rsid w:val="009556A4"/>
    <w:rsid w:val="00955954"/>
    <w:rsid w:val="009567A4"/>
    <w:rsid w:val="00963B3B"/>
    <w:rsid w:val="00965601"/>
    <w:rsid w:val="009766A8"/>
    <w:rsid w:val="00977520"/>
    <w:rsid w:val="00980CC6"/>
    <w:rsid w:val="009863D9"/>
    <w:rsid w:val="0098664A"/>
    <w:rsid w:val="00991FC6"/>
    <w:rsid w:val="009A10F7"/>
    <w:rsid w:val="009A283A"/>
    <w:rsid w:val="009A31DF"/>
    <w:rsid w:val="009A4881"/>
    <w:rsid w:val="009A4C25"/>
    <w:rsid w:val="009B089E"/>
    <w:rsid w:val="009B3C7F"/>
    <w:rsid w:val="009B540A"/>
    <w:rsid w:val="009B6D41"/>
    <w:rsid w:val="009C130F"/>
    <w:rsid w:val="009C3CE8"/>
    <w:rsid w:val="009C454A"/>
    <w:rsid w:val="009C46F5"/>
    <w:rsid w:val="009C73CB"/>
    <w:rsid w:val="009D2F27"/>
    <w:rsid w:val="009D37FA"/>
    <w:rsid w:val="009E14CE"/>
    <w:rsid w:val="009E17C9"/>
    <w:rsid w:val="009E419B"/>
    <w:rsid w:val="009F5F3A"/>
    <w:rsid w:val="00A03925"/>
    <w:rsid w:val="00A06B55"/>
    <w:rsid w:val="00A077AC"/>
    <w:rsid w:val="00A104B7"/>
    <w:rsid w:val="00A10F8D"/>
    <w:rsid w:val="00A11E47"/>
    <w:rsid w:val="00A13E30"/>
    <w:rsid w:val="00A16768"/>
    <w:rsid w:val="00A16B58"/>
    <w:rsid w:val="00A21A20"/>
    <w:rsid w:val="00A26B19"/>
    <w:rsid w:val="00A310DE"/>
    <w:rsid w:val="00A31760"/>
    <w:rsid w:val="00A3241A"/>
    <w:rsid w:val="00A359AE"/>
    <w:rsid w:val="00A37F1A"/>
    <w:rsid w:val="00A44B01"/>
    <w:rsid w:val="00A52BE2"/>
    <w:rsid w:val="00A541C0"/>
    <w:rsid w:val="00A545B7"/>
    <w:rsid w:val="00A57045"/>
    <w:rsid w:val="00A6315C"/>
    <w:rsid w:val="00A65A39"/>
    <w:rsid w:val="00A65A60"/>
    <w:rsid w:val="00A66783"/>
    <w:rsid w:val="00A72798"/>
    <w:rsid w:val="00A74C37"/>
    <w:rsid w:val="00A75149"/>
    <w:rsid w:val="00A75444"/>
    <w:rsid w:val="00A76A51"/>
    <w:rsid w:val="00A776DC"/>
    <w:rsid w:val="00A817D5"/>
    <w:rsid w:val="00A83308"/>
    <w:rsid w:val="00A85893"/>
    <w:rsid w:val="00A875BE"/>
    <w:rsid w:val="00A91E9F"/>
    <w:rsid w:val="00A92C32"/>
    <w:rsid w:val="00A97133"/>
    <w:rsid w:val="00A97625"/>
    <w:rsid w:val="00AA1EA6"/>
    <w:rsid w:val="00AA495C"/>
    <w:rsid w:val="00AD042E"/>
    <w:rsid w:val="00AD370A"/>
    <w:rsid w:val="00AD5465"/>
    <w:rsid w:val="00AD5B9E"/>
    <w:rsid w:val="00AE1377"/>
    <w:rsid w:val="00AF075F"/>
    <w:rsid w:val="00AF1B32"/>
    <w:rsid w:val="00AF43AF"/>
    <w:rsid w:val="00B0212D"/>
    <w:rsid w:val="00B02993"/>
    <w:rsid w:val="00B041D3"/>
    <w:rsid w:val="00B06BF6"/>
    <w:rsid w:val="00B1103A"/>
    <w:rsid w:val="00B1299C"/>
    <w:rsid w:val="00B14B55"/>
    <w:rsid w:val="00B20669"/>
    <w:rsid w:val="00B2610D"/>
    <w:rsid w:val="00B2735B"/>
    <w:rsid w:val="00B47F84"/>
    <w:rsid w:val="00B50982"/>
    <w:rsid w:val="00B5167E"/>
    <w:rsid w:val="00B6665E"/>
    <w:rsid w:val="00B70A09"/>
    <w:rsid w:val="00B70C95"/>
    <w:rsid w:val="00B72BC9"/>
    <w:rsid w:val="00B73C0C"/>
    <w:rsid w:val="00B87E5B"/>
    <w:rsid w:val="00B911FA"/>
    <w:rsid w:val="00B916F5"/>
    <w:rsid w:val="00BA2FFE"/>
    <w:rsid w:val="00BA4E19"/>
    <w:rsid w:val="00BA57C5"/>
    <w:rsid w:val="00BA62EB"/>
    <w:rsid w:val="00BA6AF8"/>
    <w:rsid w:val="00BA7D14"/>
    <w:rsid w:val="00BB1AE8"/>
    <w:rsid w:val="00BB2394"/>
    <w:rsid w:val="00BB4B64"/>
    <w:rsid w:val="00BB7930"/>
    <w:rsid w:val="00BC40BD"/>
    <w:rsid w:val="00BC4E96"/>
    <w:rsid w:val="00BC702F"/>
    <w:rsid w:val="00BC78F9"/>
    <w:rsid w:val="00BD409A"/>
    <w:rsid w:val="00BD4DBF"/>
    <w:rsid w:val="00BD62CF"/>
    <w:rsid w:val="00BD685B"/>
    <w:rsid w:val="00BE29A0"/>
    <w:rsid w:val="00BF0536"/>
    <w:rsid w:val="00BF1D53"/>
    <w:rsid w:val="00BF24E4"/>
    <w:rsid w:val="00BF45E9"/>
    <w:rsid w:val="00C009BC"/>
    <w:rsid w:val="00C06C5C"/>
    <w:rsid w:val="00C10164"/>
    <w:rsid w:val="00C11C51"/>
    <w:rsid w:val="00C11D4F"/>
    <w:rsid w:val="00C12EE5"/>
    <w:rsid w:val="00C148DC"/>
    <w:rsid w:val="00C20415"/>
    <w:rsid w:val="00C20F89"/>
    <w:rsid w:val="00C3059A"/>
    <w:rsid w:val="00C31F97"/>
    <w:rsid w:val="00C356E6"/>
    <w:rsid w:val="00C42AF3"/>
    <w:rsid w:val="00C42BB4"/>
    <w:rsid w:val="00C43D13"/>
    <w:rsid w:val="00C44BCA"/>
    <w:rsid w:val="00C47014"/>
    <w:rsid w:val="00C52362"/>
    <w:rsid w:val="00C55762"/>
    <w:rsid w:val="00C56109"/>
    <w:rsid w:val="00C5785A"/>
    <w:rsid w:val="00C61C7F"/>
    <w:rsid w:val="00C634AB"/>
    <w:rsid w:val="00C636FD"/>
    <w:rsid w:val="00C63A70"/>
    <w:rsid w:val="00C813DF"/>
    <w:rsid w:val="00C8645C"/>
    <w:rsid w:val="00C9214E"/>
    <w:rsid w:val="00C924CF"/>
    <w:rsid w:val="00C92745"/>
    <w:rsid w:val="00C93D1F"/>
    <w:rsid w:val="00C9465C"/>
    <w:rsid w:val="00C97835"/>
    <w:rsid w:val="00CA071B"/>
    <w:rsid w:val="00CA215F"/>
    <w:rsid w:val="00CC02AF"/>
    <w:rsid w:val="00CC0AEB"/>
    <w:rsid w:val="00CC2E43"/>
    <w:rsid w:val="00CD0A23"/>
    <w:rsid w:val="00CD102D"/>
    <w:rsid w:val="00CD2036"/>
    <w:rsid w:val="00CD3CCA"/>
    <w:rsid w:val="00CD471D"/>
    <w:rsid w:val="00CE53AF"/>
    <w:rsid w:val="00CE565D"/>
    <w:rsid w:val="00CE6F43"/>
    <w:rsid w:val="00CF2F8A"/>
    <w:rsid w:val="00CF33F3"/>
    <w:rsid w:val="00D0437E"/>
    <w:rsid w:val="00D04F20"/>
    <w:rsid w:val="00D0557D"/>
    <w:rsid w:val="00D06351"/>
    <w:rsid w:val="00D10273"/>
    <w:rsid w:val="00D162C8"/>
    <w:rsid w:val="00D2166A"/>
    <w:rsid w:val="00D2247E"/>
    <w:rsid w:val="00D237A6"/>
    <w:rsid w:val="00D26197"/>
    <w:rsid w:val="00D300C4"/>
    <w:rsid w:val="00D3149B"/>
    <w:rsid w:val="00D46132"/>
    <w:rsid w:val="00D468F6"/>
    <w:rsid w:val="00D47876"/>
    <w:rsid w:val="00D532EE"/>
    <w:rsid w:val="00D55B59"/>
    <w:rsid w:val="00D577E0"/>
    <w:rsid w:val="00D63AF9"/>
    <w:rsid w:val="00D66726"/>
    <w:rsid w:val="00D6785C"/>
    <w:rsid w:val="00D70889"/>
    <w:rsid w:val="00D771EE"/>
    <w:rsid w:val="00D81A62"/>
    <w:rsid w:val="00D82C14"/>
    <w:rsid w:val="00D83A4B"/>
    <w:rsid w:val="00D846B9"/>
    <w:rsid w:val="00D86C4F"/>
    <w:rsid w:val="00D914D0"/>
    <w:rsid w:val="00D9548C"/>
    <w:rsid w:val="00DA4DEC"/>
    <w:rsid w:val="00DA6025"/>
    <w:rsid w:val="00DB2F58"/>
    <w:rsid w:val="00DC0311"/>
    <w:rsid w:val="00DC2C55"/>
    <w:rsid w:val="00DC3EF9"/>
    <w:rsid w:val="00DC692F"/>
    <w:rsid w:val="00DD54E5"/>
    <w:rsid w:val="00DD7676"/>
    <w:rsid w:val="00DE576E"/>
    <w:rsid w:val="00DE7DA8"/>
    <w:rsid w:val="00DE7F12"/>
    <w:rsid w:val="00DF1318"/>
    <w:rsid w:val="00DF1CFD"/>
    <w:rsid w:val="00DF3CCB"/>
    <w:rsid w:val="00DF4BCC"/>
    <w:rsid w:val="00DF5F2C"/>
    <w:rsid w:val="00E112C7"/>
    <w:rsid w:val="00E23B0F"/>
    <w:rsid w:val="00E24161"/>
    <w:rsid w:val="00E27B24"/>
    <w:rsid w:val="00E31F45"/>
    <w:rsid w:val="00E34C51"/>
    <w:rsid w:val="00E35CA8"/>
    <w:rsid w:val="00E37E03"/>
    <w:rsid w:val="00E44320"/>
    <w:rsid w:val="00E568AA"/>
    <w:rsid w:val="00E575D1"/>
    <w:rsid w:val="00E63D0F"/>
    <w:rsid w:val="00E63DF0"/>
    <w:rsid w:val="00E7262B"/>
    <w:rsid w:val="00E73FBF"/>
    <w:rsid w:val="00E74A82"/>
    <w:rsid w:val="00E74AD9"/>
    <w:rsid w:val="00E83079"/>
    <w:rsid w:val="00E8362C"/>
    <w:rsid w:val="00E84651"/>
    <w:rsid w:val="00E85916"/>
    <w:rsid w:val="00E86731"/>
    <w:rsid w:val="00E912CF"/>
    <w:rsid w:val="00EA0C26"/>
    <w:rsid w:val="00EA1DF2"/>
    <w:rsid w:val="00EA558F"/>
    <w:rsid w:val="00EB6957"/>
    <w:rsid w:val="00EB7205"/>
    <w:rsid w:val="00EC265F"/>
    <w:rsid w:val="00EC2701"/>
    <w:rsid w:val="00EC2E7B"/>
    <w:rsid w:val="00EC33E3"/>
    <w:rsid w:val="00EC7EA7"/>
    <w:rsid w:val="00ED1C90"/>
    <w:rsid w:val="00ED257D"/>
    <w:rsid w:val="00ED3717"/>
    <w:rsid w:val="00ED7028"/>
    <w:rsid w:val="00EE08EE"/>
    <w:rsid w:val="00EE1980"/>
    <w:rsid w:val="00EE4ED3"/>
    <w:rsid w:val="00EF2A92"/>
    <w:rsid w:val="00F00D3C"/>
    <w:rsid w:val="00F0315B"/>
    <w:rsid w:val="00F07442"/>
    <w:rsid w:val="00F13313"/>
    <w:rsid w:val="00F13642"/>
    <w:rsid w:val="00F240DF"/>
    <w:rsid w:val="00F25D25"/>
    <w:rsid w:val="00F25FAA"/>
    <w:rsid w:val="00F260CA"/>
    <w:rsid w:val="00F2670B"/>
    <w:rsid w:val="00F27115"/>
    <w:rsid w:val="00F27521"/>
    <w:rsid w:val="00F27ACF"/>
    <w:rsid w:val="00F41E1F"/>
    <w:rsid w:val="00F44120"/>
    <w:rsid w:val="00F468EC"/>
    <w:rsid w:val="00F506A8"/>
    <w:rsid w:val="00F54798"/>
    <w:rsid w:val="00F56684"/>
    <w:rsid w:val="00F56A4B"/>
    <w:rsid w:val="00F56E34"/>
    <w:rsid w:val="00F64B2A"/>
    <w:rsid w:val="00F65702"/>
    <w:rsid w:val="00F66460"/>
    <w:rsid w:val="00F70404"/>
    <w:rsid w:val="00F70A5B"/>
    <w:rsid w:val="00F776B8"/>
    <w:rsid w:val="00F80915"/>
    <w:rsid w:val="00F82EB5"/>
    <w:rsid w:val="00F830E2"/>
    <w:rsid w:val="00F840BE"/>
    <w:rsid w:val="00F845CB"/>
    <w:rsid w:val="00F86AAB"/>
    <w:rsid w:val="00F90832"/>
    <w:rsid w:val="00F90906"/>
    <w:rsid w:val="00F9558C"/>
    <w:rsid w:val="00FA7E7E"/>
    <w:rsid w:val="00FB0C8E"/>
    <w:rsid w:val="00FB1DCA"/>
    <w:rsid w:val="00FB4327"/>
    <w:rsid w:val="00FB561D"/>
    <w:rsid w:val="00FB5D40"/>
    <w:rsid w:val="00FC05E9"/>
    <w:rsid w:val="00FC14B5"/>
    <w:rsid w:val="00FC50DF"/>
    <w:rsid w:val="00FC717F"/>
    <w:rsid w:val="00FC7B6C"/>
    <w:rsid w:val="00FD12A0"/>
    <w:rsid w:val="00FD1D15"/>
    <w:rsid w:val="00FF021D"/>
    <w:rsid w:val="00FF09AA"/>
    <w:rsid w:val="00FF5441"/>
    <w:rsid w:val="00FF60AA"/>
    <w:rsid w:val="00FF719F"/>
    <w:rsid w:val="0B682BC5"/>
    <w:rsid w:val="31436381"/>
    <w:rsid w:val="332A689F"/>
    <w:rsid w:val="396C57E1"/>
    <w:rsid w:val="42E2237A"/>
    <w:rsid w:val="6572676E"/>
    <w:rsid w:val="744B5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39" w:semiHidden="0" w:name="toc 5"/>
    <w:lsdException w:qFormat="1" w:unhideWhenUsed="0" w:uiPriority="39" w:semiHidden="0" w:name="toc 6"/>
    <w:lsdException w:qFormat="1" w:unhideWhenUsed="0" w:uiPriority="0" w:semiHidden="0" w:name="toc 7"/>
    <w:lsdException w:uiPriority="0" w:name="toc 8"/>
    <w:lsdException w:uiPriority="0" w:name="toc 9"/>
    <w:lsdException w:qFormat="1" w:unhideWhenUsed="0" w:uiPriority="0" w:semiHidden="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outlineLvl w:val="0"/>
    </w:pPr>
    <w:rPr>
      <w:b/>
      <w:bCs/>
      <w:sz w:val="3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4"/>
    <w:qFormat/>
    <w:uiPriority w:val="0"/>
    <w:pPr>
      <w:keepNext/>
      <w:keepLines/>
      <w:spacing w:before="280" w:after="290" w:line="376" w:lineRule="auto"/>
      <w:outlineLvl w:val="4"/>
    </w:pPr>
    <w:rPr>
      <w:b/>
      <w:bCs/>
      <w:sz w:val="28"/>
      <w:szCs w:val="28"/>
      <w:lang w:val="zh-CN" w:eastAsia="zh-CN"/>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0">
    <w:name w:val="toc 7"/>
    <w:basedOn w:val="1"/>
    <w:next w:val="1"/>
    <w:qFormat/>
    <w:uiPriority w:val="0"/>
    <w:pPr>
      <w:tabs>
        <w:tab w:val="right" w:leader="dot" w:pos="8696"/>
      </w:tabs>
      <w:ind w:left="718" w:leftChars="342" w:firstLine="1"/>
    </w:pPr>
  </w:style>
  <w:style w:type="paragraph" w:styleId="11">
    <w:name w:val="Normal Indent"/>
    <w:basedOn w:val="1"/>
    <w:qFormat/>
    <w:uiPriority w:val="0"/>
    <w:pPr>
      <w:ind w:firstLine="420"/>
    </w:pPr>
    <w:rPr>
      <w:szCs w:val="20"/>
    </w:rPr>
  </w:style>
  <w:style w:type="paragraph" w:styleId="12">
    <w:name w:val="annotation text"/>
    <w:basedOn w:val="1"/>
    <w:semiHidden/>
    <w:unhideWhenUsed/>
    <w:qFormat/>
    <w:uiPriority w:val="0"/>
    <w:pPr>
      <w:jc w:val="left"/>
    </w:pPr>
  </w:style>
  <w:style w:type="paragraph" w:styleId="13">
    <w:name w:val="Body Text"/>
    <w:basedOn w:val="1"/>
    <w:link w:val="35"/>
    <w:qFormat/>
    <w:uiPriority w:val="0"/>
    <w:pPr>
      <w:spacing w:after="120"/>
    </w:pPr>
    <w:rPr>
      <w:lang w:val="zh-CN" w:eastAsia="zh-CN"/>
    </w:rPr>
  </w:style>
  <w:style w:type="paragraph" w:styleId="14">
    <w:name w:val="Body Text Indent"/>
    <w:basedOn w:val="1"/>
    <w:qFormat/>
    <w:uiPriority w:val="0"/>
    <w:pPr>
      <w:spacing w:line="360" w:lineRule="auto"/>
      <w:ind w:firstLine="480" w:firstLineChars="200"/>
    </w:pPr>
    <w:rPr>
      <w:sz w:val="24"/>
    </w:rPr>
  </w:style>
  <w:style w:type="paragraph" w:styleId="15">
    <w:name w:val="toc 5"/>
    <w:basedOn w:val="1"/>
    <w:next w:val="1"/>
    <w:qFormat/>
    <w:uiPriority w:val="39"/>
    <w:pPr>
      <w:tabs>
        <w:tab w:val="right" w:leader="dot" w:pos="8696"/>
      </w:tabs>
      <w:jc w:val="right"/>
    </w:pPr>
  </w:style>
  <w:style w:type="paragraph" w:styleId="16">
    <w:name w:val="toc 3"/>
    <w:basedOn w:val="1"/>
    <w:next w:val="1"/>
    <w:qFormat/>
    <w:uiPriority w:val="0"/>
    <w:pPr>
      <w:ind w:left="840" w:leftChars="400"/>
    </w:pPr>
  </w:style>
  <w:style w:type="paragraph" w:styleId="17">
    <w:name w:val="Plain Text"/>
    <w:basedOn w:val="1"/>
    <w:qFormat/>
    <w:uiPriority w:val="0"/>
    <w:rPr>
      <w:rFonts w:hint="eastAsia" w:ascii="宋体" w:hAnsi="Courier New"/>
      <w:szCs w:val="20"/>
    </w:rPr>
  </w:style>
  <w:style w:type="paragraph" w:styleId="18">
    <w:name w:val="Date"/>
    <w:basedOn w:val="1"/>
    <w:next w:val="1"/>
    <w:qFormat/>
    <w:uiPriority w:val="0"/>
    <w:pPr>
      <w:ind w:left="100" w:leftChars="2500"/>
    </w:pPr>
  </w:style>
  <w:style w:type="paragraph" w:styleId="19">
    <w:name w:val="Balloon Text"/>
    <w:basedOn w:val="1"/>
    <w:semiHidden/>
    <w:qFormat/>
    <w:uiPriority w:val="0"/>
    <w:rPr>
      <w:sz w:val="18"/>
      <w:szCs w:val="18"/>
    </w:rPr>
  </w:style>
  <w:style w:type="paragraph" w:styleId="20">
    <w:name w:val="footer"/>
    <w:basedOn w:val="1"/>
    <w:qFormat/>
    <w:uiPriority w:val="0"/>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right" w:leader="dot" w:pos="8698"/>
      </w:tabs>
    </w:pPr>
  </w:style>
  <w:style w:type="paragraph" w:styleId="23">
    <w:name w:val="toc 4"/>
    <w:basedOn w:val="1"/>
    <w:next w:val="1"/>
    <w:qFormat/>
    <w:uiPriority w:val="0"/>
    <w:pPr>
      <w:ind w:left="1260" w:leftChars="600"/>
    </w:pPr>
  </w:style>
  <w:style w:type="paragraph" w:styleId="24">
    <w:name w:val="toc 6"/>
    <w:basedOn w:val="1"/>
    <w:next w:val="1"/>
    <w:qFormat/>
    <w:uiPriority w:val="39"/>
    <w:pPr>
      <w:tabs>
        <w:tab w:val="right" w:leader="dot" w:pos="8696"/>
      </w:tabs>
      <w:ind w:left="359" w:leftChars="171"/>
    </w:pPr>
  </w:style>
  <w:style w:type="paragraph" w:styleId="25">
    <w:name w:val="toc 2"/>
    <w:basedOn w:val="1"/>
    <w:next w:val="1"/>
    <w:qFormat/>
    <w:uiPriority w:val="0"/>
    <w:pPr>
      <w:ind w:left="420" w:leftChars="200"/>
    </w:pPr>
  </w:style>
  <w:style w:type="table" w:styleId="27">
    <w:name w:val="Table Grid"/>
    <w:basedOn w:val="2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page number"/>
    <w:basedOn w:val="28"/>
    <w:qFormat/>
    <w:uiPriority w:val="0"/>
  </w:style>
  <w:style w:type="character" w:styleId="30">
    <w:name w:val="Hyperlink"/>
    <w:qFormat/>
    <w:uiPriority w:val="99"/>
    <w:rPr>
      <w:color w:val="0000FF"/>
      <w:u w:val="single"/>
    </w:rPr>
  </w:style>
  <w:style w:type="paragraph" w:customStyle="1" w:styleId="31">
    <w:name w:val="MTDisplayEquation"/>
    <w:basedOn w:val="1"/>
    <w:next w:val="1"/>
    <w:uiPriority w:val="0"/>
    <w:pPr>
      <w:tabs>
        <w:tab w:val="center" w:pos="4240"/>
        <w:tab w:val="right" w:pos="8500"/>
      </w:tabs>
    </w:pPr>
    <w:rPr>
      <w:sz w:val="28"/>
    </w:rPr>
  </w:style>
  <w:style w:type="paragraph" w:customStyle="1" w:styleId="32">
    <w:name w:val="Char Char1"/>
    <w:basedOn w:val="1"/>
    <w:qFormat/>
    <w:uiPriority w:val="0"/>
  </w:style>
  <w:style w:type="paragraph" w:customStyle="1" w:styleId="33">
    <w:name w:val="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34">
    <w:name w:val="标题 5 Char"/>
    <w:link w:val="6"/>
    <w:qFormat/>
    <w:uiPriority w:val="0"/>
    <w:rPr>
      <w:b/>
      <w:bCs/>
      <w:kern w:val="2"/>
      <w:sz w:val="28"/>
      <w:szCs w:val="28"/>
    </w:rPr>
  </w:style>
  <w:style w:type="character" w:customStyle="1" w:styleId="35">
    <w:name w:val="正文文本 Char"/>
    <w:link w:val="13"/>
    <w:qFormat/>
    <w:uiPriority w:val="0"/>
    <w:rPr>
      <w:kern w:val="2"/>
      <w:sz w:val="21"/>
      <w:szCs w:val="24"/>
    </w:rPr>
  </w:style>
  <w:style w:type="character" w:styleId="36">
    <w:name w:val="Placeholder Text"/>
    <w:basedOn w:val="28"/>
    <w:semiHidden/>
    <w:qFormat/>
    <w:uiPriority w:val="99"/>
    <w:rPr>
      <w:color w:val="808080"/>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42.bin"/><Relationship Id="rId97" Type="http://schemas.openxmlformats.org/officeDocument/2006/relationships/image" Target="media/image42.wmf"/><Relationship Id="rId96" Type="http://schemas.openxmlformats.org/officeDocument/2006/relationships/oleObject" Target="embeddings/oleObject41.bin"/><Relationship Id="rId95" Type="http://schemas.openxmlformats.org/officeDocument/2006/relationships/image" Target="media/image41.wmf"/><Relationship Id="rId94" Type="http://schemas.openxmlformats.org/officeDocument/2006/relationships/oleObject" Target="embeddings/oleObject40.bin"/><Relationship Id="rId93" Type="http://schemas.openxmlformats.org/officeDocument/2006/relationships/image" Target="media/image40.wmf"/><Relationship Id="rId92" Type="http://schemas.openxmlformats.org/officeDocument/2006/relationships/oleObject" Target="embeddings/oleObject39.bin"/><Relationship Id="rId91" Type="http://schemas.openxmlformats.org/officeDocument/2006/relationships/image" Target="media/image39.wmf"/><Relationship Id="rId90" Type="http://schemas.openxmlformats.org/officeDocument/2006/relationships/oleObject" Target="embeddings/oleObject38.bin"/><Relationship Id="rId9" Type="http://schemas.openxmlformats.org/officeDocument/2006/relationships/footer" Target="footer3.xml"/><Relationship Id="rId89" Type="http://schemas.openxmlformats.org/officeDocument/2006/relationships/image" Target="media/image38.wmf"/><Relationship Id="rId88" Type="http://schemas.openxmlformats.org/officeDocument/2006/relationships/oleObject" Target="embeddings/oleObject37.bin"/><Relationship Id="rId87" Type="http://schemas.openxmlformats.org/officeDocument/2006/relationships/image" Target="media/image37.wmf"/><Relationship Id="rId86" Type="http://schemas.openxmlformats.org/officeDocument/2006/relationships/oleObject" Target="embeddings/oleObject36.bin"/><Relationship Id="rId85" Type="http://schemas.openxmlformats.org/officeDocument/2006/relationships/image" Target="media/image36.wmf"/><Relationship Id="rId84" Type="http://schemas.openxmlformats.org/officeDocument/2006/relationships/oleObject" Target="embeddings/oleObject35.bin"/><Relationship Id="rId83" Type="http://schemas.openxmlformats.org/officeDocument/2006/relationships/image" Target="media/image35.wmf"/><Relationship Id="rId82" Type="http://schemas.openxmlformats.org/officeDocument/2006/relationships/oleObject" Target="embeddings/oleObject34.bin"/><Relationship Id="rId81" Type="http://schemas.openxmlformats.org/officeDocument/2006/relationships/image" Target="media/image34.wmf"/><Relationship Id="rId80" Type="http://schemas.openxmlformats.org/officeDocument/2006/relationships/oleObject" Target="embeddings/oleObject33.bin"/><Relationship Id="rId8" Type="http://schemas.openxmlformats.org/officeDocument/2006/relationships/header" Target="header4.xml"/><Relationship Id="rId79" Type="http://schemas.openxmlformats.org/officeDocument/2006/relationships/image" Target="media/image33.wmf"/><Relationship Id="rId78" Type="http://schemas.openxmlformats.org/officeDocument/2006/relationships/oleObject" Target="embeddings/oleObject32.bin"/><Relationship Id="rId77" Type="http://schemas.openxmlformats.org/officeDocument/2006/relationships/image" Target="media/image32.wmf"/><Relationship Id="rId76" Type="http://schemas.openxmlformats.org/officeDocument/2006/relationships/oleObject" Target="embeddings/oleObject31.bin"/><Relationship Id="rId75" Type="http://schemas.openxmlformats.org/officeDocument/2006/relationships/image" Target="media/image31.wmf"/><Relationship Id="rId74" Type="http://schemas.openxmlformats.org/officeDocument/2006/relationships/oleObject" Target="embeddings/oleObject30.bin"/><Relationship Id="rId73" Type="http://schemas.openxmlformats.org/officeDocument/2006/relationships/image" Target="media/image30.wmf"/><Relationship Id="rId72" Type="http://schemas.openxmlformats.org/officeDocument/2006/relationships/oleObject" Target="embeddings/oleObject29.bin"/><Relationship Id="rId71" Type="http://schemas.openxmlformats.org/officeDocument/2006/relationships/image" Target="media/image29.wmf"/><Relationship Id="rId70" Type="http://schemas.openxmlformats.org/officeDocument/2006/relationships/oleObject" Target="embeddings/oleObject28.bin"/><Relationship Id="rId7" Type="http://schemas.openxmlformats.org/officeDocument/2006/relationships/header" Target="header3.xml"/><Relationship Id="rId69" Type="http://schemas.openxmlformats.org/officeDocument/2006/relationships/image" Target="media/image28.wmf"/><Relationship Id="rId68" Type="http://schemas.openxmlformats.org/officeDocument/2006/relationships/oleObject" Target="embeddings/oleObject27.bin"/><Relationship Id="rId67" Type="http://schemas.openxmlformats.org/officeDocument/2006/relationships/image" Target="media/image27.wmf"/><Relationship Id="rId66" Type="http://schemas.openxmlformats.org/officeDocument/2006/relationships/oleObject" Target="embeddings/oleObject26.bin"/><Relationship Id="rId65" Type="http://schemas.openxmlformats.org/officeDocument/2006/relationships/image" Target="media/image26.wmf"/><Relationship Id="rId64" Type="http://schemas.openxmlformats.org/officeDocument/2006/relationships/oleObject" Target="embeddings/oleObject25.bin"/><Relationship Id="rId63" Type="http://schemas.openxmlformats.org/officeDocument/2006/relationships/image" Target="media/image25.wmf"/><Relationship Id="rId62" Type="http://schemas.openxmlformats.org/officeDocument/2006/relationships/oleObject" Target="embeddings/oleObject24.bin"/><Relationship Id="rId61" Type="http://schemas.openxmlformats.org/officeDocument/2006/relationships/image" Target="media/image24.wmf"/><Relationship Id="rId60" Type="http://schemas.openxmlformats.org/officeDocument/2006/relationships/oleObject" Target="embeddings/oleObject23.bin"/><Relationship Id="rId6" Type="http://schemas.openxmlformats.org/officeDocument/2006/relationships/footer" Target="footer2.xml"/><Relationship Id="rId59" Type="http://schemas.openxmlformats.org/officeDocument/2006/relationships/image" Target="media/image23.wmf"/><Relationship Id="rId58" Type="http://schemas.openxmlformats.org/officeDocument/2006/relationships/oleObject" Target="embeddings/oleObject22.bin"/><Relationship Id="rId57" Type="http://schemas.openxmlformats.org/officeDocument/2006/relationships/image" Target="media/image22.wmf"/><Relationship Id="rId56" Type="http://schemas.openxmlformats.org/officeDocument/2006/relationships/oleObject" Target="embeddings/oleObject21.bin"/><Relationship Id="rId55" Type="http://schemas.openxmlformats.org/officeDocument/2006/relationships/image" Target="media/image21.wmf"/><Relationship Id="rId54" Type="http://schemas.openxmlformats.org/officeDocument/2006/relationships/oleObject" Target="embeddings/oleObject20.bin"/><Relationship Id="rId53" Type="http://schemas.openxmlformats.org/officeDocument/2006/relationships/image" Target="media/image20.wmf"/><Relationship Id="rId52" Type="http://schemas.openxmlformats.org/officeDocument/2006/relationships/oleObject" Target="embeddings/oleObject19.bin"/><Relationship Id="rId51" Type="http://schemas.openxmlformats.org/officeDocument/2006/relationships/image" Target="media/image19.wmf"/><Relationship Id="rId50" Type="http://schemas.openxmlformats.org/officeDocument/2006/relationships/oleObject" Target="embeddings/oleObject18.bin"/><Relationship Id="rId5" Type="http://schemas.openxmlformats.org/officeDocument/2006/relationships/footer" Target="footer1.xml"/><Relationship Id="rId49" Type="http://schemas.openxmlformats.org/officeDocument/2006/relationships/image" Target="media/image18.wmf"/><Relationship Id="rId48" Type="http://schemas.openxmlformats.org/officeDocument/2006/relationships/oleObject" Target="embeddings/oleObject17.bin"/><Relationship Id="rId47" Type="http://schemas.openxmlformats.org/officeDocument/2006/relationships/image" Target="media/image17.wmf"/><Relationship Id="rId46" Type="http://schemas.openxmlformats.org/officeDocument/2006/relationships/oleObject" Target="embeddings/oleObject16.bin"/><Relationship Id="rId45" Type="http://schemas.openxmlformats.org/officeDocument/2006/relationships/image" Target="media/image16.wmf"/><Relationship Id="rId44" Type="http://schemas.openxmlformats.org/officeDocument/2006/relationships/oleObject" Target="embeddings/oleObject15.bin"/><Relationship Id="rId43" Type="http://schemas.openxmlformats.org/officeDocument/2006/relationships/image" Target="media/image15.wmf"/><Relationship Id="rId42" Type="http://schemas.openxmlformats.org/officeDocument/2006/relationships/oleObject" Target="embeddings/oleObject14.bin"/><Relationship Id="rId41" Type="http://schemas.openxmlformats.org/officeDocument/2006/relationships/image" Target="media/image14.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2.bin"/><Relationship Id="rId37" Type="http://schemas.openxmlformats.org/officeDocument/2006/relationships/image" Target="media/image12.wmf"/><Relationship Id="rId36" Type="http://schemas.openxmlformats.org/officeDocument/2006/relationships/oleObject" Target="embeddings/oleObject11.bin"/><Relationship Id="rId35" Type="http://schemas.openxmlformats.org/officeDocument/2006/relationships/image" Target="media/image11.wmf"/><Relationship Id="rId34" Type="http://schemas.openxmlformats.org/officeDocument/2006/relationships/oleObject" Target="embeddings/oleObject10.bin"/><Relationship Id="rId33" Type="http://schemas.openxmlformats.org/officeDocument/2006/relationships/image" Target="media/image10.wmf"/><Relationship Id="rId32" Type="http://schemas.openxmlformats.org/officeDocument/2006/relationships/oleObject" Target="embeddings/oleObject9.bin"/><Relationship Id="rId31" Type="http://schemas.openxmlformats.org/officeDocument/2006/relationships/image" Target="media/image9.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7.bin"/><Relationship Id="rId27" Type="http://schemas.openxmlformats.org/officeDocument/2006/relationships/image" Target="media/image7.wmf"/><Relationship Id="rId26" Type="http://schemas.openxmlformats.org/officeDocument/2006/relationships/oleObject" Target="embeddings/oleObject6.bin"/><Relationship Id="rId25" Type="http://schemas.openxmlformats.org/officeDocument/2006/relationships/image" Target="media/image6.wmf"/><Relationship Id="rId24" Type="http://schemas.openxmlformats.org/officeDocument/2006/relationships/oleObject" Target="embeddings/oleObject5.bin"/><Relationship Id="rId230" Type="http://schemas.openxmlformats.org/officeDocument/2006/relationships/fontTable" Target="fontTable.xml"/><Relationship Id="rId23" Type="http://schemas.openxmlformats.org/officeDocument/2006/relationships/image" Target="media/image5.wmf"/><Relationship Id="rId229" Type="http://schemas.openxmlformats.org/officeDocument/2006/relationships/customXml" Target="../customXml/item2.xml"/><Relationship Id="rId228" Type="http://schemas.openxmlformats.org/officeDocument/2006/relationships/numbering" Target="numbering.xml"/><Relationship Id="rId227" Type="http://schemas.openxmlformats.org/officeDocument/2006/relationships/customXml" Target="../customXml/item1.xml"/><Relationship Id="rId226" Type="http://schemas.openxmlformats.org/officeDocument/2006/relationships/image" Target="media/image105.wmf"/><Relationship Id="rId225" Type="http://schemas.openxmlformats.org/officeDocument/2006/relationships/oleObject" Target="embeddings/oleObject107.bin"/><Relationship Id="rId224" Type="http://schemas.openxmlformats.org/officeDocument/2006/relationships/oleObject" Target="embeddings/oleObject106.bin"/><Relationship Id="rId223" Type="http://schemas.openxmlformats.org/officeDocument/2006/relationships/image" Target="media/image104.wmf"/><Relationship Id="rId222" Type="http://schemas.openxmlformats.org/officeDocument/2006/relationships/oleObject" Target="embeddings/oleObject105.bin"/><Relationship Id="rId221" Type="http://schemas.openxmlformats.org/officeDocument/2006/relationships/image" Target="media/image103.wmf"/><Relationship Id="rId220" Type="http://schemas.openxmlformats.org/officeDocument/2006/relationships/oleObject" Target="embeddings/oleObject104.bin"/><Relationship Id="rId22" Type="http://schemas.openxmlformats.org/officeDocument/2006/relationships/oleObject" Target="embeddings/oleObject4.bin"/><Relationship Id="rId219" Type="http://schemas.openxmlformats.org/officeDocument/2006/relationships/image" Target="media/image102.wmf"/><Relationship Id="rId218" Type="http://schemas.openxmlformats.org/officeDocument/2006/relationships/oleObject" Target="embeddings/oleObject103.bin"/><Relationship Id="rId217" Type="http://schemas.openxmlformats.org/officeDocument/2006/relationships/image" Target="media/image101.wmf"/><Relationship Id="rId216" Type="http://schemas.openxmlformats.org/officeDocument/2006/relationships/oleObject" Target="embeddings/oleObject102.bin"/><Relationship Id="rId215" Type="http://schemas.openxmlformats.org/officeDocument/2006/relationships/image" Target="media/image100.wmf"/><Relationship Id="rId214" Type="http://schemas.openxmlformats.org/officeDocument/2006/relationships/oleObject" Target="embeddings/oleObject101.bin"/><Relationship Id="rId213" Type="http://schemas.openxmlformats.org/officeDocument/2006/relationships/image" Target="media/image99.wmf"/><Relationship Id="rId212" Type="http://schemas.openxmlformats.org/officeDocument/2006/relationships/oleObject" Target="embeddings/oleObject100.bin"/><Relationship Id="rId211" Type="http://schemas.openxmlformats.org/officeDocument/2006/relationships/image" Target="media/image98.wmf"/><Relationship Id="rId210" Type="http://schemas.openxmlformats.org/officeDocument/2006/relationships/oleObject" Target="embeddings/oleObject99.bin"/><Relationship Id="rId21" Type="http://schemas.openxmlformats.org/officeDocument/2006/relationships/image" Target="media/image4.wmf"/><Relationship Id="rId209" Type="http://schemas.openxmlformats.org/officeDocument/2006/relationships/image" Target="media/image97.wmf"/><Relationship Id="rId208" Type="http://schemas.openxmlformats.org/officeDocument/2006/relationships/oleObject" Target="embeddings/oleObject98.bin"/><Relationship Id="rId207" Type="http://schemas.openxmlformats.org/officeDocument/2006/relationships/image" Target="media/image96.wmf"/><Relationship Id="rId206" Type="http://schemas.openxmlformats.org/officeDocument/2006/relationships/oleObject" Target="embeddings/oleObject97.bin"/><Relationship Id="rId205" Type="http://schemas.openxmlformats.org/officeDocument/2006/relationships/image" Target="media/image95.wmf"/><Relationship Id="rId204" Type="http://schemas.openxmlformats.org/officeDocument/2006/relationships/oleObject" Target="embeddings/oleObject96.bin"/><Relationship Id="rId203" Type="http://schemas.openxmlformats.org/officeDocument/2006/relationships/image" Target="media/image94.wmf"/><Relationship Id="rId202" Type="http://schemas.openxmlformats.org/officeDocument/2006/relationships/oleObject" Target="embeddings/oleObject95.bin"/><Relationship Id="rId201" Type="http://schemas.openxmlformats.org/officeDocument/2006/relationships/image" Target="media/image93.wmf"/><Relationship Id="rId200" Type="http://schemas.openxmlformats.org/officeDocument/2006/relationships/oleObject" Target="embeddings/oleObject94.bin"/><Relationship Id="rId20" Type="http://schemas.openxmlformats.org/officeDocument/2006/relationships/oleObject" Target="embeddings/oleObject3.bin"/><Relationship Id="rId2" Type="http://schemas.openxmlformats.org/officeDocument/2006/relationships/settings" Target="settings.xml"/><Relationship Id="rId199" Type="http://schemas.openxmlformats.org/officeDocument/2006/relationships/image" Target="media/image92.wmf"/><Relationship Id="rId198" Type="http://schemas.openxmlformats.org/officeDocument/2006/relationships/oleObject" Target="embeddings/oleObject93.bin"/><Relationship Id="rId197" Type="http://schemas.openxmlformats.org/officeDocument/2006/relationships/image" Target="media/image91.wmf"/><Relationship Id="rId196" Type="http://schemas.openxmlformats.org/officeDocument/2006/relationships/oleObject" Target="embeddings/oleObject92.bin"/><Relationship Id="rId195" Type="http://schemas.openxmlformats.org/officeDocument/2006/relationships/image" Target="media/image90.wmf"/><Relationship Id="rId194" Type="http://schemas.openxmlformats.org/officeDocument/2006/relationships/oleObject" Target="embeddings/oleObject91.bin"/><Relationship Id="rId193" Type="http://schemas.openxmlformats.org/officeDocument/2006/relationships/image" Target="media/image89.wmf"/><Relationship Id="rId192" Type="http://schemas.openxmlformats.org/officeDocument/2006/relationships/oleObject" Target="embeddings/oleObject90.bin"/><Relationship Id="rId191" Type="http://schemas.openxmlformats.org/officeDocument/2006/relationships/image" Target="media/image88.wmf"/><Relationship Id="rId190" Type="http://schemas.openxmlformats.org/officeDocument/2006/relationships/oleObject" Target="embeddings/oleObject89.bin"/><Relationship Id="rId19" Type="http://schemas.openxmlformats.org/officeDocument/2006/relationships/image" Target="media/image3.wmf"/><Relationship Id="rId189" Type="http://schemas.openxmlformats.org/officeDocument/2006/relationships/image" Target="media/image87.wmf"/><Relationship Id="rId188" Type="http://schemas.openxmlformats.org/officeDocument/2006/relationships/oleObject" Target="embeddings/oleObject88.bin"/><Relationship Id="rId187" Type="http://schemas.openxmlformats.org/officeDocument/2006/relationships/image" Target="media/image86.wmf"/><Relationship Id="rId186" Type="http://schemas.openxmlformats.org/officeDocument/2006/relationships/oleObject" Target="embeddings/oleObject87.bin"/><Relationship Id="rId185" Type="http://schemas.openxmlformats.org/officeDocument/2006/relationships/image" Target="media/image85.wmf"/><Relationship Id="rId184" Type="http://schemas.openxmlformats.org/officeDocument/2006/relationships/oleObject" Target="embeddings/oleObject86.bin"/><Relationship Id="rId183" Type="http://schemas.openxmlformats.org/officeDocument/2006/relationships/image" Target="media/image84.wmf"/><Relationship Id="rId182" Type="http://schemas.openxmlformats.org/officeDocument/2006/relationships/oleObject" Target="embeddings/oleObject85.bin"/><Relationship Id="rId181" Type="http://schemas.openxmlformats.org/officeDocument/2006/relationships/image" Target="media/image83.wmf"/><Relationship Id="rId180" Type="http://schemas.openxmlformats.org/officeDocument/2006/relationships/oleObject" Target="embeddings/oleObject84.bin"/><Relationship Id="rId18" Type="http://schemas.openxmlformats.org/officeDocument/2006/relationships/oleObject" Target="embeddings/oleObject2.bin"/><Relationship Id="rId179" Type="http://schemas.openxmlformats.org/officeDocument/2006/relationships/image" Target="media/image82.wmf"/><Relationship Id="rId178" Type="http://schemas.openxmlformats.org/officeDocument/2006/relationships/oleObject" Target="embeddings/oleObject83.bin"/><Relationship Id="rId177" Type="http://schemas.openxmlformats.org/officeDocument/2006/relationships/image" Target="media/image81.wmf"/><Relationship Id="rId176" Type="http://schemas.openxmlformats.org/officeDocument/2006/relationships/oleObject" Target="embeddings/oleObject82.bin"/><Relationship Id="rId175" Type="http://schemas.openxmlformats.org/officeDocument/2006/relationships/image" Target="media/image80.wmf"/><Relationship Id="rId174" Type="http://schemas.openxmlformats.org/officeDocument/2006/relationships/oleObject" Target="embeddings/oleObject81.bin"/><Relationship Id="rId173" Type="http://schemas.openxmlformats.org/officeDocument/2006/relationships/image" Target="media/image79.wmf"/><Relationship Id="rId172" Type="http://schemas.openxmlformats.org/officeDocument/2006/relationships/oleObject" Target="embeddings/oleObject80.bin"/><Relationship Id="rId171" Type="http://schemas.openxmlformats.org/officeDocument/2006/relationships/image" Target="media/image78.wmf"/><Relationship Id="rId170" Type="http://schemas.openxmlformats.org/officeDocument/2006/relationships/oleObject" Target="embeddings/oleObject79.bin"/><Relationship Id="rId17" Type="http://schemas.openxmlformats.org/officeDocument/2006/relationships/image" Target="media/image2.emf"/><Relationship Id="rId169" Type="http://schemas.openxmlformats.org/officeDocument/2006/relationships/image" Target="media/image77.wmf"/><Relationship Id="rId168" Type="http://schemas.openxmlformats.org/officeDocument/2006/relationships/oleObject" Target="embeddings/oleObject78.bin"/><Relationship Id="rId167" Type="http://schemas.openxmlformats.org/officeDocument/2006/relationships/image" Target="media/image76.wmf"/><Relationship Id="rId166" Type="http://schemas.openxmlformats.org/officeDocument/2006/relationships/oleObject" Target="embeddings/oleObject77.bin"/><Relationship Id="rId165" Type="http://schemas.openxmlformats.org/officeDocument/2006/relationships/image" Target="media/image75.wmf"/><Relationship Id="rId164" Type="http://schemas.openxmlformats.org/officeDocument/2006/relationships/oleObject" Target="embeddings/oleObject76.bin"/><Relationship Id="rId163" Type="http://schemas.openxmlformats.org/officeDocument/2006/relationships/image" Target="media/image74.wmf"/><Relationship Id="rId162" Type="http://schemas.openxmlformats.org/officeDocument/2006/relationships/oleObject" Target="embeddings/oleObject75.bin"/><Relationship Id="rId161" Type="http://schemas.openxmlformats.org/officeDocument/2006/relationships/image" Target="media/image73.wmf"/><Relationship Id="rId160" Type="http://schemas.openxmlformats.org/officeDocument/2006/relationships/oleObject" Target="embeddings/oleObject74.bin"/><Relationship Id="rId16" Type="http://schemas.openxmlformats.org/officeDocument/2006/relationships/oleObject" Target="embeddings/oleObject1.bin"/><Relationship Id="rId159" Type="http://schemas.openxmlformats.org/officeDocument/2006/relationships/image" Target="media/image72.wmf"/><Relationship Id="rId158" Type="http://schemas.openxmlformats.org/officeDocument/2006/relationships/oleObject" Target="embeddings/oleObject73.bin"/><Relationship Id="rId157" Type="http://schemas.openxmlformats.org/officeDocument/2006/relationships/image" Target="media/image71.wmf"/><Relationship Id="rId156" Type="http://schemas.openxmlformats.org/officeDocument/2006/relationships/oleObject" Target="embeddings/oleObject72.bin"/><Relationship Id="rId155" Type="http://schemas.openxmlformats.org/officeDocument/2006/relationships/image" Target="media/image70.wmf"/><Relationship Id="rId154" Type="http://schemas.openxmlformats.org/officeDocument/2006/relationships/oleObject" Target="embeddings/oleObject71.bin"/><Relationship Id="rId153" Type="http://schemas.openxmlformats.org/officeDocument/2006/relationships/image" Target="media/image69.wmf"/><Relationship Id="rId152" Type="http://schemas.openxmlformats.org/officeDocument/2006/relationships/oleObject" Target="embeddings/oleObject70.bin"/><Relationship Id="rId151" Type="http://schemas.openxmlformats.org/officeDocument/2006/relationships/image" Target="media/image68.wmf"/><Relationship Id="rId150" Type="http://schemas.openxmlformats.org/officeDocument/2006/relationships/oleObject" Target="embeddings/oleObject69.bin"/><Relationship Id="rId15" Type="http://schemas.openxmlformats.org/officeDocument/2006/relationships/image" Target="media/image1.png"/><Relationship Id="rId149" Type="http://schemas.openxmlformats.org/officeDocument/2006/relationships/image" Target="media/image67.wmf"/><Relationship Id="rId148" Type="http://schemas.openxmlformats.org/officeDocument/2006/relationships/oleObject" Target="embeddings/oleObject68.bin"/><Relationship Id="rId147" Type="http://schemas.openxmlformats.org/officeDocument/2006/relationships/image" Target="media/image66.wmf"/><Relationship Id="rId146" Type="http://schemas.openxmlformats.org/officeDocument/2006/relationships/oleObject" Target="embeddings/oleObject67.bin"/><Relationship Id="rId145" Type="http://schemas.openxmlformats.org/officeDocument/2006/relationships/image" Target="media/image65.wmf"/><Relationship Id="rId144" Type="http://schemas.openxmlformats.org/officeDocument/2006/relationships/oleObject" Target="embeddings/oleObject66.bin"/><Relationship Id="rId143" Type="http://schemas.openxmlformats.org/officeDocument/2006/relationships/image" Target="media/image64.wmf"/><Relationship Id="rId142" Type="http://schemas.openxmlformats.org/officeDocument/2006/relationships/oleObject" Target="embeddings/oleObject65.bin"/><Relationship Id="rId141" Type="http://schemas.openxmlformats.org/officeDocument/2006/relationships/image" Target="media/image63.wmf"/><Relationship Id="rId140" Type="http://schemas.openxmlformats.org/officeDocument/2006/relationships/oleObject" Target="embeddings/oleObject64.bin"/><Relationship Id="rId14" Type="http://schemas.openxmlformats.org/officeDocument/2006/relationships/theme" Target="theme/theme1.xml"/><Relationship Id="rId139" Type="http://schemas.openxmlformats.org/officeDocument/2006/relationships/image" Target="media/image62.wmf"/><Relationship Id="rId138" Type="http://schemas.openxmlformats.org/officeDocument/2006/relationships/oleObject" Target="embeddings/oleObject63.bin"/><Relationship Id="rId137" Type="http://schemas.openxmlformats.org/officeDocument/2006/relationships/image" Target="media/image61.wmf"/><Relationship Id="rId136" Type="http://schemas.openxmlformats.org/officeDocument/2006/relationships/oleObject" Target="embeddings/oleObject62.bin"/><Relationship Id="rId135" Type="http://schemas.openxmlformats.org/officeDocument/2006/relationships/image" Target="media/image60.wmf"/><Relationship Id="rId134" Type="http://schemas.openxmlformats.org/officeDocument/2006/relationships/oleObject" Target="embeddings/oleObject61.bin"/><Relationship Id="rId133" Type="http://schemas.openxmlformats.org/officeDocument/2006/relationships/image" Target="media/image59.wmf"/><Relationship Id="rId132" Type="http://schemas.openxmlformats.org/officeDocument/2006/relationships/oleObject" Target="embeddings/oleObject60.bin"/><Relationship Id="rId131" Type="http://schemas.openxmlformats.org/officeDocument/2006/relationships/image" Target="media/image58.wmf"/><Relationship Id="rId130" Type="http://schemas.openxmlformats.org/officeDocument/2006/relationships/oleObject" Target="embeddings/oleObject59.bin"/><Relationship Id="rId13" Type="http://schemas.openxmlformats.org/officeDocument/2006/relationships/header" Target="header7.xml"/><Relationship Id="rId129" Type="http://schemas.openxmlformats.org/officeDocument/2006/relationships/oleObject" Target="embeddings/oleObject58.bin"/><Relationship Id="rId128" Type="http://schemas.openxmlformats.org/officeDocument/2006/relationships/image" Target="media/image57.wmf"/><Relationship Id="rId127" Type="http://schemas.openxmlformats.org/officeDocument/2006/relationships/oleObject" Target="embeddings/oleObject57.bin"/><Relationship Id="rId126" Type="http://schemas.openxmlformats.org/officeDocument/2006/relationships/image" Target="media/image56.wmf"/><Relationship Id="rId125" Type="http://schemas.openxmlformats.org/officeDocument/2006/relationships/oleObject" Target="embeddings/oleObject56.bin"/><Relationship Id="rId124" Type="http://schemas.openxmlformats.org/officeDocument/2006/relationships/image" Target="media/image55.wmf"/><Relationship Id="rId123" Type="http://schemas.openxmlformats.org/officeDocument/2006/relationships/oleObject" Target="embeddings/oleObject55.bin"/><Relationship Id="rId122" Type="http://schemas.openxmlformats.org/officeDocument/2006/relationships/image" Target="media/image54.wmf"/><Relationship Id="rId121" Type="http://schemas.openxmlformats.org/officeDocument/2006/relationships/oleObject" Target="embeddings/oleObject54.bin"/><Relationship Id="rId120" Type="http://schemas.openxmlformats.org/officeDocument/2006/relationships/image" Target="media/image53.wmf"/><Relationship Id="rId12" Type="http://schemas.openxmlformats.org/officeDocument/2006/relationships/header" Target="header6.xml"/><Relationship Id="rId119" Type="http://schemas.openxmlformats.org/officeDocument/2006/relationships/oleObject" Target="embeddings/oleObject53.bin"/><Relationship Id="rId118" Type="http://schemas.openxmlformats.org/officeDocument/2006/relationships/image" Target="media/image52.wmf"/><Relationship Id="rId117" Type="http://schemas.openxmlformats.org/officeDocument/2006/relationships/oleObject" Target="embeddings/oleObject52.bin"/><Relationship Id="rId116" Type="http://schemas.openxmlformats.org/officeDocument/2006/relationships/image" Target="media/image51.wmf"/><Relationship Id="rId115" Type="http://schemas.openxmlformats.org/officeDocument/2006/relationships/oleObject" Target="embeddings/oleObject51.bin"/><Relationship Id="rId114" Type="http://schemas.openxmlformats.org/officeDocument/2006/relationships/image" Target="media/image50.wmf"/><Relationship Id="rId113" Type="http://schemas.openxmlformats.org/officeDocument/2006/relationships/oleObject" Target="embeddings/oleObject50.bin"/><Relationship Id="rId112" Type="http://schemas.openxmlformats.org/officeDocument/2006/relationships/image" Target="media/image49.wmf"/><Relationship Id="rId111" Type="http://schemas.openxmlformats.org/officeDocument/2006/relationships/oleObject" Target="embeddings/oleObject49.bin"/><Relationship Id="rId110" Type="http://schemas.openxmlformats.org/officeDocument/2006/relationships/image" Target="media/image48.wmf"/><Relationship Id="rId11" Type="http://schemas.openxmlformats.org/officeDocument/2006/relationships/header" Target="header5.xml"/><Relationship Id="rId109" Type="http://schemas.openxmlformats.org/officeDocument/2006/relationships/oleObject" Target="embeddings/oleObject48.bin"/><Relationship Id="rId108" Type="http://schemas.openxmlformats.org/officeDocument/2006/relationships/image" Target="media/image47.wmf"/><Relationship Id="rId107" Type="http://schemas.openxmlformats.org/officeDocument/2006/relationships/oleObject" Target="embeddings/oleObject47.bin"/><Relationship Id="rId106" Type="http://schemas.openxmlformats.org/officeDocument/2006/relationships/image" Target="media/image46.wmf"/><Relationship Id="rId105" Type="http://schemas.openxmlformats.org/officeDocument/2006/relationships/oleObject" Target="embeddings/oleObject46.bin"/><Relationship Id="rId104" Type="http://schemas.openxmlformats.org/officeDocument/2006/relationships/image" Target="media/image45.wmf"/><Relationship Id="rId103" Type="http://schemas.openxmlformats.org/officeDocument/2006/relationships/oleObject" Target="embeddings/oleObject45.bin"/><Relationship Id="rId102" Type="http://schemas.openxmlformats.org/officeDocument/2006/relationships/image" Target="media/image44.wmf"/><Relationship Id="rId101" Type="http://schemas.openxmlformats.org/officeDocument/2006/relationships/oleObject" Target="embeddings/oleObject44.bin"/><Relationship Id="rId100" Type="http://schemas.openxmlformats.org/officeDocument/2006/relationships/oleObject" Target="embeddings/oleObject43.bin"/><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449637-D147-4F9C-B4F9-A99FCF6BD13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7566</Words>
  <Characters>10189</Characters>
  <Lines>116</Lines>
  <Paragraphs>32</Paragraphs>
  <TotalTime>1</TotalTime>
  <ScaleCrop>false</ScaleCrop>
  <LinksUpToDate>false</LinksUpToDate>
  <CharactersWithSpaces>11656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2021-07-07T08:11:00Z</dcterms:created>
  <dc:creator>acer</dc:creator>
  <cp:lastModifiedBy>ECHOsss</cp:lastModifiedBy>
  <cp:lastPrinted>2017-08-14T01:21:00Z</cp:lastPrinted>
  <dcterms:modified xsi:type="dcterms:W3CDTF">2023-06-21T03:17:25Z</dcterms:modified>
  <dc:title>医用多参数监护仪</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UseMTPrefs">
    <vt:lpwstr>1</vt:lpwstr>
  </property>
  <property fmtid="{D5CDD505-2E9C-101B-9397-08002B2CF9AE}" pid="3" name="MTWinEqns">
    <vt:bool>true</vt:bool>
  </property>
  <property fmtid="{D5CDD505-2E9C-101B-9397-08002B2CF9AE}" pid="4" name="MTEquationNumber2">
    <vt:lpwstr>(#S1.#E1)</vt:lpwstr>
  </property>
  <property fmtid="{D5CDD505-2E9C-101B-9397-08002B2CF9AE}" pid="5" name="KSOProductBuildVer">
    <vt:lpwstr>2052-11.1.0.14309</vt:lpwstr>
  </property>
  <property fmtid="{D5CDD505-2E9C-101B-9397-08002B2CF9AE}" pid="6" name="ICV">
    <vt:lpwstr>72373791179A460494ADDE4F11AA7377_13</vt:lpwstr>
  </property>
</Properties>
</file>